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jc w:val="center"/>
        <w:rPr>
          <w:rFonts w:asciiTheme="minorEastAsia" w:hAnsiTheme="minorEastAsia"/>
          <w:sz w:val="28"/>
          <w:szCs w:val="28"/>
          <w:u w:val="single"/>
        </w:rPr>
      </w:pPr>
      <w:r>
        <w:rPr>
          <w:rFonts w:ascii="宋体" w:hAnsi="宋体" w:eastAsia="宋体" w:cs="宋体"/>
          <w:sz w:val="24"/>
          <w:szCs w:val="24"/>
        </w:rPr>
        <w:drawing>
          <wp:inline distT="0" distB="0" distL="114300" distR="114300">
            <wp:extent cx="4672965" cy="280416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672965" cy="2804160"/>
                    </a:xfrm>
                    <a:prstGeom prst="rect">
                      <a:avLst/>
                    </a:prstGeom>
                    <a:noFill/>
                    <a:ln w="9525">
                      <a:noFill/>
                    </a:ln>
                  </pic:spPr>
                </pic:pic>
              </a:graphicData>
            </a:graphic>
          </wp:inline>
        </w:drawing>
      </w:r>
    </w:p>
    <w:p>
      <w:pPr>
        <w:jc w:val="center"/>
        <w:rPr>
          <w:rFonts w:ascii="方正小标宋简体" w:eastAsia="方正小标宋简体" w:hAnsiTheme="minorEastAsia"/>
          <w:sz w:val="52"/>
          <w:szCs w:val="52"/>
        </w:rPr>
      </w:pPr>
      <w:r>
        <w:rPr>
          <w:rFonts w:hint="eastAsia" w:ascii="方正小标宋简体" w:eastAsia="方正小标宋简体" w:hAnsiTheme="minorEastAsia"/>
          <w:sz w:val="52"/>
          <w:szCs w:val="52"/>
        </w:rPr>
        <w:t>《</w:t>
      </w:r>
      <w:r>
        <w:rPr>
          <w:rFonts w:hint="eastAsia" w:ascii="方正小标宋简体" w:eastAsia="方正小标宋简体" w:hAnsiTheme="minorEastAsia"/>
          <w:sz w:val="52"/>
          <w:szCs w:val="52"/>
          <w:lang w:val="en-US" w:eastAsia="zh-CN"/>
        </w:rPr>
        <w:t>智能财税综合实训</w:t>
      </w:r>
      <w:r>
        <w:rPr>
          <w:rFonts w:hint="eastAsia" w:ascii="方正小标宋简体" w:eastAsia="方正小标宋简体" w:hAnsiTheme="minorEastAsia"/>
          <w:sz w:val="52"/>
          <w:szCs w:val="52"/>
        </w:rPr>
        <w:t>》</w:t>
      </w:r>
    </w:p>
    <w:p>
      <w:pPr>
        <w:jc w:val="center"/>
        <w:rPr>
          <w:rFonts w:ascii="方正小标宋简体" w:eastAsia="方正小标宋简体" w:hAnsiTheme="minorEastAsia"/>
          <w:sz w:val="52"/>
          <w:szCs w:val="52"/>
        </w:rPr>
      </w:pPr>
      <w:r>
        <w:rPr>
          <w:rFonts w:hint="eastAsia" w:ascii="方正小标宋简体" w:eastAsia="方正小标宋简体" w:hAnsiTheme="minorEastAsia"/>
          <w:sz w:val="52"/>
          <w:szCs w:val="52"/>
        </w:rPr>
        <w:t>课 程 标 准</w:t>
      </w:r>
    </w:p>
    <w:p>
      <w:pPr>
        <w:jc w:val="center"/>
        <w:rPr>
          <w:rFonts w:asciiTheme="minorEastAsia" w:hAnsiTheme="minorEastAsia"/>
          <w:sz w:val="48"/>
          <w:szCs w:val="48"/>
        </w:rPr>
      </w:pPr>
    </w:p>
    <w:p>
      <w:pPr>
        <w:jc w:val="center"/>
        <w:rPr>
          <w:rFonts w:asciiTheme="minorEastAsia" w:hAnsiTheme="minorEastAsia"/>
          <w:sz w:val="48"/>
          <w:szCs w:val="48"/>
        </w:rPr>
      </w:pPr>
    </w:p>
    <w:p>
      <w:pPr>
        <w:ind w:left="567" w:leftChars="270"/>
        <w:rPr>
          <w:rFonts w:hint="default"/>
          <w:sz w:val="32"/>
          <w:szCs w:val="32"/>
          <w:lang w:val="en-US" w:eastAsia="zh-CN"/>
        </w:rPr>
      </w:pPr>
      <w:r>
        <w:rPr>
          <w:rFonts w:hint="eastAsia"/>
          <w:spacing w:val="100"/>
          <w:kern w:val="0"/>
          <w:sz w:val="32"/>
          <w:szCs w:val="32"/>
          <w:fitText w:val="2400" w:id="1614839716"/>
          <w:lang w:val="en-US" w:eastAsia="zh-CN"/>
        </w:rPr>
        <w:t>所属教研</w:t>
      </w:r>
      <w:r>
        <w:rPr>
          <w:rFonts w:hint="eastAsia"/>
          <w:spacing w:val="0"/>
          <w:kern w:val="0"/>
          <w:sz w:val="32"/>
          <w:szCs w:val="32"/>
          <w:fitText w:val="2400" w:id="1614839716"/>
          <w:lang w:val="en-US" w:eastAsia="zh-CN"/>
        </w:rPr>
        <w:t>室</w:t>
      </w:r>
      <w:r>
        <w:rPr>
          <w:rFonts w:hint="eastAsia"/>
          <w:sz w:val="32"/>
          <w:szCs w:val="32"/>
        </w:rPr>
        <w:t>：</w:t>
      </w:r>
      <w:r>
        <w:rPr>
          <w:rFonts w:hint="eastAsia"/>
          <w:sz w:val="32"/>
          <w:szCs w:val="32"/>
          <w:lang w:val="en-US" w:eastAsia="zh-CN"/>
        </w:rPr>
        <w:t xml:space="preserve"> 大数据与会计</w:t>
      </w:r>
    </w:p>
    <w:p>
      <w:pPr>
        <w:ind w:left="567" w:leftChars="270"/>
        <w:rPr>
          <w:rFonts w:hint="default"/>
          <w:sz w:val="32"/>
          <w:szCs w:val="32"/>
          <w:lang w:val="en-US" w:eastAsia="zh-CN"/>
        </w:rPr>
      </w:pPr>
      <w:r>
        <w:rPr>
          <w:rFonts w:hint="eastAsia"/>
          <w:spacing w:val="186"/>
          <w:kern w:val="0"/>
          <w:sz w:val="32"/>
          <w:szCs w:val="32"/>
          <w:fitText w:val="2400" w:id="933773813"/>
          <w:lang w:val="en-US" w:eastAsia="zh-CN"/>
        </w:rPr>
        <w:t>课程类</w:t>
      </w:r>
      <w:r>
        <w:rPr>
          <w:rFonts w:hint="eastAsia"/>
          <w:spacing w:val="2"/>
          <w:kern w:val="0"/>
          <w:sz w:val="32"/>
          <w:szCs w:val="32"/>
          <w:fitText w:val="2400" w:id="933773813"/>
          <w:lang w:val="en-US" w:eastAsia="zh-CN"/>
        </w:rPr>
        <w:t>型</w:t>
      </w:r>
      <w:r>
        <w:rPr>
          <w:rFonts w:hint="eastAsia"/>
          <w:sz w:val="32"/>
          <w:szCs w:val="32"/>
        </w:rPr>
        <w:t>：</w:t>
      </w:r>
      <w:r>
        <w:rPr>
          <w:rFonts w:hint="eastAsia"/>
          <w:sz w:val="32"/>
          <w:szCs w:val="32"/>
          <w:lang w:val="en-US" w:eastAsia="zh-CN"/>
        </w:rPr>
        <w:t xml:space="preserve"> 实践性教学环节</w:t>
      </w:r>
    </w:p>
    <w:p>
      <w:pPr>
        <w:ind w:left="567" w:leftChars="270"/>
        <w:rPr>
          <w:rFonts w:hint="eastAsia" w:eastAsiaTheme="minorEastAsia"/>
          <w:sz w:val="32"/>
          <w:szCs w:val="32"/>
          <w:lang w:val="en-US" w:eastAsia="zh-CN"/>
        </w:rPr>
      </w:pPr>
      <w:r>
        <w:rPr>
          <w:rFonts w:hint="eastAsia"/>
          <w:spacing w:val="66"/>
          <w:kern w:val="0"/>
          <w:sz w:val="32"/>
          <w:szCs w:val="32"/>
          <w:fitText w:val="2400" w:id="1318016461"/>
        </w:rPr>
        <w:t xml:space="preserve">执  笔  </w:t>
      </w:r>
      <w:r>
        <w:rPr>
          <w:rFonts w:hint="eastAsia"/>
          <w:spacing w:val="4"/>
          <w:kern w:val="0"/>
          <w:sz w:val="32"/>
          <w:szCs w:val="32"/>
          <w:fitText w:val="2400" w:id="1318016461"/>
        </w:rPr>
        <w:t>人</w:t>
      </w:r>
      <w:r>
        <w:rPr>
          <w:rFonts w:hint="eastAsia"/>
          <w:sz w:val="32"/>
          <w:szCs w:val="32"/>
        </w:rPr>
        <w:t xml:space="preserve">： </w:t>
      </w:r>
      <w:r>
        <w:rPr>
          <w:rFonts w:hint="eastAsia"/>
          <w:sz w:val="32"/>
          <w:szCs w:val="32"/>
          <w:lang w:val="en-US" w:eastAsia="zh-CN"/>
        </w:rPr>
        <w:t>梅林</w:t>
      </w:r>
    </w:p>
    <w:p>
      <w:pPr>
        <w:ind w:left="567" w:leftChars="270"/>
        <w:rPr>
          <w:rFonts w:hint="default" w:eastAsiaTheme="minorEastAsia"/>
          <w:sz w:val="32"/>
          <w:szCs w:val="32"/>
          <w:lang w:val="en-US" w:eastAsia="zh-CN"/>
        </w:rPr>
      </w:pPr>
      <w:r>
        <w:rPr>
          <w:rFonts w:hint="eastAsia"/>
          <w:spacing w:val="66"/>
          <w:kern w:val="0"/>
          <w:sz w:val="32"/>
          <w:szCs w:val="32"/>
          <w:fitText w:val="2400" w:id="1501771748"/>
        </w:rPr>
        <w:t xml:space="preserve">审  核  </w:t>
      </w:r>
      <w:r>
        <w:rPr>
          <w:rFonts w:hint="eastAsia"/>
          <w:spacing w:val="4"/>
          <w:kern w:val="0"/>
          <w:sz w:val="32"/>
          <w:szCs w:val="32"/>
          <w:fitText w:val="2400" w:id="1501771748"/>
        </w:rPr>
        <w:t>人</w:t>
      </w:r>
      <w:r>
        <w:rPr>
          <w:rFonts w:hint="eastAsia"/>
          <w:sz w:val="32"/>
          <w:szCs w:val="32"/>
        </w:rPr>
        <w:t xml:space="preserve">： </w:t>
      </w:r>
      <w:r>
        <w:rPr>
          <w:rFonts w:hint="eastAsia"/>
          <w:sz w:val="32"/>
          <w:szCs w:val="32"/>
          <w:lang w:val="en-US" w:eastAsia="zh-CN"/>
        </w:rPr>
        <w:t>刘熠</w:t>
      </w:r>
    </w:p>
    <w:p>
      <w:pPr>
        <w:ind w:left="567" w:leftChars="270"/>
        <w:rPr>
          <w:rFonts w:hint="eastAsia"/>
          <w:sz w:val="32"/>
          <w:szCs w:val="32"/>
        </w:rPr>
      </w:pPr>
      <w:r>
        <w:rPr>
          <w:rFonts w:hint="eastAsia"/>
          <w:spacing w:val="53"/>
          <w:kern w:val="0"/>
          <w:sz w:val="32"/>
          <w:szCs w:val="32"/>
          <w:fitText w:val="2400" w:id="704385661"/>
        </w:rPr>
        <w:t xml:space="preserve">制 订 日 </w:t>
      </w:r>
      <w:r>
        <w:rPr>
          <w:rFonts w:hint="eastAsia"/>
          <w:spacing w:val="2"/>
          <w:kern w:val="0"/>
          <w:sz w:val="32"/>
          <w:szCs w:val="32"/>
          <w:fitText w:val="2400" w:id="704385661"/>
        </w:rPr>
        <w:t>期</w:t>
      </w:r>
      <w:r>
        <w:rPr>
          <w:rFonts w:hint="eastAsia"/>
          <w:sz w:val="32"/>
          <w:szCs w:val="32"/>
        </w:rPr>
        <w:t>：</w:t>
      </w:r>
      <w:r>
        <w:rPr>
          <w:rFonts w:hint="eastAsia"/>
          <w:sz w:val="32"/>
          <w:szCs w:val="32"/>
          <w:lang w:val="en-US" w:eastAsia="zh-CN"/>
        </w:rPr>
        <w:t xml:space="preserve"> 2026</w:t>
      </w:r>
      <w:r>
        <w:rPr>
          <w:rFonts w:hint="eastAsia"/>
          <w:sz w:val="32"/>
          <w:szCs w:val="32"/>
        </w:rPr>
        <w:t>年</w:t>
      </w:r>
      <w:r>
        <w:rPr>
          <w:rFonts w:hint="eastAsia"/>
          <w:sz w:val="32"/>
          <w:szCs w:val="32"/>
          <w:lang w:val="en-US" w:eastAsia="zh-CN"/>
        </w:rPr>
        <w:t>2</w:t>
      </w:r>
      <w:r>
        <w:rPr>
          <w:rFonts w:hint="eastAsia"/>
          <w:sz w:val="32"/>
          <w:szCs w:val="32"/>
        </w:rPr>
        <w:t xml:space="preserve">月 </w:t>
      </w:r>
    </w:p>
    <w:p>
      <w:pPr>
        <w:ind w:left="567" w:leftChars="270"/>
        <w:rPr>
          <w:rFonts w:hint="eastAsia"/>
          <w:sz w:val="32"/>
          <w:szCs w:val="32"/>
        </w:rPr>
      </w:pPr>
      <w:r>
        <w:rPr>
          <w:rFonts w:hint="eastAsia"/>
          <w:spacing w:val="186"/>
          <w:kern w:val="0"/>
          <w:sz w:val="32"/>
          <w:szCs w:val="32"/>
          <w:fitText w:val="2400" w:id="2044332136"/>
        </w:rPr>
        <w:t>修订日</w:t>
      </w:r>
      <w:r>
        <w:rPr>
          <w:rFonts w:hint="eastAsia"/>
          <w:spacing w:val="2"/>
          <w:kern w:val="0"/>
          <w:sz w:val="32"/>
          <w:szCs w:val="32"/>
          <w:fitText w:val="2400" w:id="2044332136"/>
        </w:rPr>
        <w:t>期</w:t>
      </w:r>
      <w:r>
        <w:rPr>
          <w:rFonts w:hint="eastAsia"/>
          <w:sz w:val="32"/>
          <w:szCs w:val="32"/>
        </w:rPr>
        <w:t>：</w:t>
      </w:r>
      <w:r>
        <w:rPr>
          <w:rFonts w:hint="eastAsia"/>
          <w:sz w:val="32"/>
          <w:szCs w:val="32"/>
          <w:lang w:val="en-US" w:eastAsia="zh-CN"/>
        </w:rPr>
        <w:t xml:space="preserve"> 2026</w:t>
      </w:r>
      <w:r>
        <w:rPr>
          <w:rFonts w:hint="eastAsia"/>
          <w:sz w:val="32"/>
          <w:szCs w:val="32"/>
        </w:rPr>
        <w:t>年</w:t>
      </w:r>
      <w:r>
        <w:rPr>
          <w:rFonts w:hint="eastAsia"/>
          <w:sz w:val="32"/>
          <w:szCs w:val="32"/>
          <w:lang w:val="en-US" w:eastAsia="zh-CN"/>
        </w:rPr>
        <w:t>2</w:t>
      </w:r>
      <w:r>
        <w:rPr>
          <w:rFonts w:hint="eastAsia"/>
          <w:sz w:val="32"/>
          <w:szCs w:val="32"/>
        </w:rPr>
        <w:t xml:space="preserve">月 </w:t>
      </w:r>
    </w:p>
    <w:p>
      <w:pPr>
        <w:jc w:val="both"/>
        <w:rPr>
          <w:rFonts w:asciiTheme="minorEastAsia" w:hAnsiTheme="minorEastAsia"/>
          <w:sz w:val="32"/>
          <w:szCs w:val="32"/>
        </w:rPr>
      </w:pPr>
    </w:p>
    <w:p>
      <w:pPr>
        <w:jc w:val="center"/>
        <w:rPr>
          <w:rFonts w:asciiTheme="minorEastAsia" w:hAnsiTheme="minorEastAsia"/>
          <w:sz w:val="32"/>
          <w:szCs w:val="32"/>
        </w:rPr>
      </w:pPr>
    </w:p>
    <w:p>
      <w:pPr>
        <w:jc w:val="center"/>
        <w:rPr>
          <w:rFonts w:ascii="宋体" w:hAnsi="宋体" w:eastAsia="宋体"/>
          <w:sz w:val="32"/>
          <w:szCs w:val="32"/>
        </w:rPr>
      </w:pPr>
      <w:r>
        <w:rPr>
          <w:rFonts w:hint="eastAsia" w:ascii="宋体" w:hAnsi="宋体" w:eastAsia="宋体"/>
          <w:sz w:val="32"/>
          <w:szCs w:val="32"/>
          <w:lang w:val="en-US" w:eastAsia="zh-CN"/>
        </w:rPr>
        <w:t>财经旅游学院</w:t>
      </w:r>
      <w:r>
        <w:rPr>
          <w:rFonts w:hint="eastAsia" w:ascii="宋体" w:hAnsi="宋体" w:eastAsia="宋体"/>
          <w:sz w:val="32"/>
          <w:szCs w:val="32"/>
        </w:rPr>
        <w:t>制</w:t>
      </w:r>
    </w:p>
    <w:p>
      <w:pPr>
        <w:jc w:val="center"/>
        <w:rPr>
          <w:rFonts w:hint="eastAsia" w:ascii="宋体" w:hAnsi="宋体" w:eastAsia="宋体"/>
          <w:sz w:val="32"/>
          <w:szCs w:val="32"/>
          <w:lang w:val="en-US" w:eastAsia="zh-CN"/>
        </w:rPr>
      </w:pPr>
      <w:r>
        <w:rPr>
          <w:rFonts w:hint="eastAsia" w:ascii="宋体" w:hAnsi="宋体" w:eastAsia="宋体"/>
          <w:sz w:val="32"/>
          <w:szCs w:val="32"/>
        </w:rPr>
        <w:t>二〇二</w:t>
      </w:r>
      <w:r>
        <w:rPr>
          <w:rFonts w:hint="eastAsia" w:ascii="宋体" w:hAnsi="宋体" w:eastAsia="宋体"/>
          <w:sz w:val="32"/>
          <w:szCs w:val="32"/>
          <w:lang w:val="en-US" w:eastAsia="zh-CN"/>
        </w:rPr>
        <w:t>六</w:t>
      </w:r>
      <w:r>
        <w:rPr>
          <w:rFonts w:hint="eastAsia" w:ascii="宋体" w:hAnsi="宋体" w:eastAsia="宋体"/>
          <w:sz w:val="32"/>
          <w:szCs w:val="32"/>
        </w:rPr>
        <w:t>年</w:t>
      </w:r>
      <w:r>
        <w:rPr>
          <w:rFonts w:hint="eastAsia" w:ascii="宋体" w:hAnsi="宋体" w:eastAsia="宋体"/>
          <w:sz w:val="32"/>
          <w:szCs w:val="32"/>
          <w:lang w:val="en-US" w:eastAsia="zh-CN"/>
        </w:rPr>
        <w:t>二</w:t>
      </w:r>
      <w:r>
        <w:rPr>
          <w:rFonts w:hint="eastAsia" w:ascii="宋体" w:hAnsi="宋体" w:eastAsia="宋体"/>
          <w:sz w:val="32"/>
          <w:szCs w:val="32"/>
        </w:rPr>
        <w:t>月</w:t>
      </w:r>
    </w:p>
    <w:p>
      <w:pPr>
        <w:pStyle w:val="2"/>
        <w:keepNext w:val="0"/>
        <w:keepLines w:val="0"/>
        <w:widowControl/>
        <w:suppressLineNumbers w:val="0"/>
        <w:jc w:val="center"/>
        <w:rPr>
          <w:color w:val="auto"/>
        </w:rPr>
      </w:pPr>
      <w:r>
        <w:rPr>
          <w:color w:val="auto"/>
        </w:rPr>
        <w:t>《智能财税综合实训》课程标准</w:t>
      </w:r>
    </w:p>
    <w:p>
      <w:pPr>
        <w:pStyle w:val="6"/>
        <w:keepNext w:val="0"/>
        <w:keepLines w:val="0"/>
        <w:widowControl/>
        <w:suppressLineNumbers w:val="0"/>
        <w:rPr>
          <w:color w:val="auto"/>
        </w:rPr>
      </w:pPr>
      <w:r>
        <w:rPr>
          <w:rStyle w:val="9"/>
          <w:color w:val="auto"/>
        </w:rPr>
        <w:t>课程名称</w:t>
      </w:r>
      <w:r>
        <w:rPr>
          <w:color w:val="auto"/>
        </w:rPr>
        <w:t xml:space="preserve">：智能财税综合实训 </w:t>
      </w:r>
    </w:p>
    <w:p>
      <w:pPr>
        <w:pStyle w:val="6"/>
        <w:keepNext w:val="0"/>
        <w:keepLines w:val="0"/>
        <w:widowControl/>
        <w:suppressLineNumbers w:val="0"/>
        <w:rPr>
          <w:color w:val="auto"/>
        </w:rPr>
      </w:pPr>
      <w:r>
        <w:rPr>
          <w:rStyle w:val="9"/>
          <w:color w:val="auto"/>
        </w:rPr>
        <w:t>课程类型</w:t>
      </w:r>
      <w:r>
        <w:rPr>
          <w:color w:val="auto"/>
        </w:rPr>
        <w:t xml:space="preserve">：实践性教学环节 </w:t>
      </w:r>
    </w:p>
    <w:p>
      <w:pPr>
        <w:pStyle w:val="6"/>
        <w:keepNext w:val="0"/>
        <w:keepLines w:val="0"/>
        <w:widowControl/>
        <w:suppressLineNumbers w:val="0"/>
        <w:rPr>
          <w:color w:val="auto"/>
        </w:rPr>
      </w:pPr>
      <w:r>
        <w:rPr>
          <w:rStyle w:val="9"/>
          <w:color w:val="auto"/>
        </w:rPr>
        <w:t>课程学时</w:t>
      </w:r>
      <w:r>
        <w:rPr>
          <w:color w:val="auto"/>
        </w:rPr>
        <w:t xml:space="preserve">：75 学时 </w:t>
      </w:r>
    </w:p>
    <w:p>
      <w:pPr>
        <w:pStyle w:val="6"/>
        <w:keepNext w:val="0"/>
        <w:keepLines w:val="0"/>
        <w:widowControl/>
        <w:suppressLineNumbers w:val="0"/>
        <w:rPr>
          <w:color w:val="auto"/>
        </w:rPr>
      </w:pPr>
      <w:r>
        <w:rPr>
          <w:rStyle w:val="9"/>
          <w:color w:val="auto"/>
        </w:rPr>
        <w:t>课程学分</w:t>
      </w:r>
      <w:r>
        <w:rPr>
          <w:color w:val="auto"/>
        </w:rPr>
        <w:t xml:space="preserve">：3 学分 </w:t>
      </w:r>
    </w:p>
    <w:p>
      <w:pPr>
        <w:pStyle w:val="6"/>
        <w:keepNext w:val="0"/>
        <w:keepLines w:val="0"/>
        <w:widowControl/>
        <w:suppressLineNumbers w:val="0"/>
        <w:rPr>
          <w:color w:val="auto"/>
        </w:rPr>
      </w:pPr>
      <w:r>
        <w:rPr>
          <w:rStyle w:val="9"/>
          <w:color w:val="auto"/>
        </w:rPr>
        <w:t>适用专业</w:t>
      </w:r>
      <w:r>
        <w:rPr>
          <w:color w:val="auto"/>
        </w:rPr>
        <w:t>：大数据与会计、大数据与财务管理</w:t>
      </w:r>
    </w:p>
    <w:p>
      <w:pPr>
        <w:pStyle w:val="3"/>
        <w:keepNext w:val="0"/>
        <w:keepLines w:val="0"/>
        <w:widowControl/>
        <w:suppressLineNumbers w:val="0"/>
        <w:rPr>
          <w:color w:val="auto"/>
        </w:rPr>
      </w:pPr>
      <w:r>
        <w:rPr>
          <w:color w:val="auto"/>
        </w:rPr>
        <w:t>一、课程概述</w:t>
      </w:r>
    </w:p>
    <w:p>
      <w:pPr>
        <w:pStyle w:val="4"/>
        <w:keepNext w:val="0"/>
        <w:keepLines w:val="0"/>
        <w:widowControl/>
        <w:suppressLineNumbers w:val="0"/>
        <w:rPr>
          <w:color w:val="auto"/>
        </w:rPr>
      </w:pPr>
      <w:r>
        <w:rPr>
          <w:color w:val="auto"/>
        </w:rPr>
        <w:t>（一）课程性质</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本课程是大数据与会计、大数据与财务管理等专业的综合性实践必修课程。课程依托“社会共享服务中心”真实业务场景，采用“初级代理→初级外包→初级管家→中级代理→中级外包→中级管家”的递进式训练模式，全面模拟代账公司、财务共享中心及企业财税部门的实际工作流程。</w:t>
      </w:r>
    </w:p>
    <w:p>
      <w:pPr>
        <w:pStyle w:val="4"/>
        <w:keepNext w:val="0"/>
        <w:keepLines w:val="0"/>
        <w:widowControl/>
        <w:suppressLineNumbers w:val="0"/>
        <w:rPr>
          <w:color w:val="auto"/>
        </w:rPr>
      </w:pPr>
      <w:r>
        <w:rPr>
          <w:color w:val="auto"/>
        </w:rPr>
        <w:t>（二）课程定位</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本课程在学生完成《基础会计》、《财务会计》、《纳税实务》、《会计信息系统》等理论与单项实训课程后开设，旨在打通理论与实践的“最后一公里”。</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对接岗位：主要面向智能财税专员、代理记账会计、共享中心核算员、税务助理、企业管家等岗位。</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核心功能：通过全真模拟中小微企业从设立、票据处理、会计核算、纳税申报到工商年报、资质管理的全生命周期业务，培养学生运用智能化财税软件解决复杂实际问题的综合能力，实现从“学生”到“准员工”的角色转变。</w:t>
      </w:r>
    </w:p>
    <w:p>
      <w:pPr>
        <w:pStyle w:val="3"/>
        <w:keepNext w:val="0"/>
        <w:keepLines w:val="0"/>
        <w:widowControl/>
        <w:suppressLineNumbers w:val="0"/>
        <w:rPr>
          <w:color w:val="auto"/>
        </w:rPr>
      </w:pPr>
      <w:r>
        <w:rPr>
          <w:color w:val="auto"/>
        </w:rPr>
        <w:t>二、课程目标</w:t>
      </w:r>
    </w:p>
    <w:p>
      <w:pPr>
        <w:pStyle w:val="4"/>
        <w:keepNext w:val="0"/>
        <w:keepLines w:val="0"/>
        <w:widowControl/>
        <w:suppressLineNumbers w:val="0"/>
        <w:rPr>
          <w:color w:val="auto"/>
        </w:rPr>
      </w:pPr>
      <w:r>
        <w:rPr>
          <w:color w:val="auto"/>
        </w:rPr>
        <w:t>（一）总体目标</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通过本课程实训，学生能够熟练掌握智能财税平台的操作技能，独立完成中小微企业的发票开具、票据整理、智能制单、纳税申报、成本核算、社保薪酬管理及工商事务处理；具备业财融合思维，能够适应财务共享服务模式下的分工协作，形成严谨细致、诚实守信、数据安全的职业素养。</w:t>
      </w:r>
    </w:p>
    <w:p>
      <w:pPr>
        <w:pStyle w:val="4"/>
        <w:keepNext w:val="0"/>
        <w:keepLines w:val="0"/>
        <w:widowControl/>
        <w:suppressLineNumbers w:val="0"/>
        <w:rPr>
          <w:color w:val="auto"/>
        </w:rPr>
      </w:pPr>
      <w:r>
        <w:rPr>
          <w:color w:val="auto"/>
        </w:rPr>
        <w:t>（二）具体目标</w:t>
      </w:r>
    </w:p>
    <w:p>
      <w:pPr>
        <w:pStyle w:val="5"/>
        <w:keepNext w:val="0"/>
        <w:keepLines w:val="0"/>
        <w:widowControl/>
        <w:suppressLineNumbers w:val="0"/>
        <w:rPr>
          <w:color w:val="auto"/>
        </w:rPr>
      </w:pPr>
      <w:r>
        <w:rPr>
          <w:color w:val="auto"/>
        </w:rPr>
        <w:t>1. 知识目标</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（1）掌握中小微企业发票开具规范、票据审核要点及风险识别方法。</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（2）熟悉小规模纳税人与一般纳税人的增值税、附加税及所得税申报流程与政策。</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（3）掌握财务共享模式下票据外包、核算外包、纳税申报外包的业务流程与服务标准。</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（4）理解企业设立、变更、注销、年报公示及资质证照管理的法律法规与操作规范。</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（5）掌握智能财税系统中合同管理、成本核算、薪酬社保及特殊业务处理的逻辑。</w:t>
      </w:r>
    </w:p>
    <w:p>
      <w:pPr>
        <w:pStyle w:val="5"/>
        <w:keepNext w:val="0"/>
        <w:keepLines w:val="0"/>
        <w:widowControl/>
        <w:suppressLineNumbers w:val="0"/>
        <w:rPr>
          <w:color w:val="auto"/>
        </w:rPr>
      </w:pPr>
      <w:r>
        <w:rPr>
          <w:color w:val="auto"/>
        </w:rPr>
        <w:t>2. 能力目标</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（1）发票与票据处理能力：能熟练代开纸质/电子发票，对各类原始凭证进行智能化整理、分类、审核与批量制单。</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（2）财税核算与申报能力：能利用智能系统完成日常及特殊业务的记账凭证生成、审核、期末结账及财务报表编制；能独立完成小规模和一般纳税人的全税种申报。</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（3）外包服务交付能力：能按照SLA（服务等级协议）标准，完成商旅报销、薪税、购销、成本及固定资产等模块的外包服务任务。</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（4）企业管家服务能力：能办理企业工商注册、变更、注销、资金管理及资质证照等业务，提供综合财税咨询。</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（5）异常处理能力：能识别并处理财税业务中的常见报错、数据不一致及税务风险预警。</w:t>
      </w:r>
    </w:p>
    <w:p>
      <w:pPr>
        <w:pStyle w:val="5"/>
        <w:keepNext w:val="0"/>
        <w:keepLines w:val="0"/>
        <w:widowControl/>
        <w:suppressLineNumbers w:val="0"/>
        <w:rPr>
          <w:color w:val="auto"/>
        </w:rPr>
      </w:pPr>
      <w:r>
        <w:rPr>
          <w:color w:val="auto"/>
        </w:rPr>
        <w:t>3. 素质目标</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（1）树立诚信守法的职业底线，严格遵守财税法规，杜绝虚开发票与偷逃税款行为。</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（2）培养严谨细致的工作作风，确保票据、数据、报表的准确性与完整性。</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（3）增强数据安全与保密意识，规范操作权限，保护客户商业机密。</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eastAsiaTheme="minorEastAsia"/>
          <w:color w:val="auto"/>
          <w:lang w:eastAsia="zh-CN"/>
        </w:rPr>
      </w:pPr>
      <w:r>
        <w:rPr>
          <w:color w:val="auto"/>
        </w:rPr>
        <w:t>（4）强化团队协作与服务意识，适应共享中心流水线作业模式，提升客户满意度。</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（5）具备数字化创新思维，主动拥抱智能化工具，提升工作效率。</w:t>
      </w:r>
    </w:p>
    <w:p>
      <w:pPr>
        <w:pStyle w:val="3"/>
        <w:keepNext w:val="0"/>
        <w:keepLines w:val="0"/>
        <w:widowControl/>
        <w:suppressLineNumbers w:val="0"/>
        <w:rPr>
          <w:color w:val="auto"/>
        </w:rPr>
      </w:pPr>
      <w:r>
        <w:rPr>
          <w:color w:val="auto"/>
        </w:rPr>
        <w:t>三、课程思路</w:t>
      </w:r>
    </w:p>
    <w:p>
      <w:pPr>
        <w:pStyle w:val="4"/>
        <w:keepNext w:val="0"/>
        <w:keepLines w:val="0"/>
        <w:widowControl/>
        <w:suppressLineNumbers w:val="0"/>
        <w:rPr>
          <w:color w:val="auto"/>
        </w:rPr>
      </w:pPr>
      <w:r>
        <w:rPr>
          <w:color w:val="auto"/>
        </w:rPr>
        <w:t>（一）课程结构</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课程内容依据智能财税职业岗位成长规律，按照“初级代理→初级外包→初级管家→中级代理→中级外包→中级管家”六大模块进阶设计。课程内容结构体系是根据企业财务会计岗位岗位职业能力和学生的认知规律来确定学习任务顺序</w:t>
      </w:r>
      <w:r>
        <w:rPr>
          <w:rFonts w:hint="eastAsia"/>
          <w:color w:val="auto"/>
        </w:rPr>
        <w:t>，按学习任务的难易程度确定课程总学时和学时分配。</w:t>
      </w:r>
      <w:r>
        <w:rPr>
          <w:color w:val="auto"/>
        </w:rPr>
        <w:t>课程总学时75学时，分为两个阶段。</w:t>
      </w:r>
    </w:p>
    <w:p>
      <w:pPr>
        <w:pStyle w:val="6"/>
        <w:keepNext w:val="0"/>
        <w:keepLines w:val="0"/>
        <w:widowControl/>
        <w:suppressLineNumbers w:val="0"/>
        <w:jc w:val="center"/>
        <w:rPr>
          <w:color w:val="auto"/>
        </w:rPr>
      </w:pPr>
      <w:r>
        <w:rPr>
          <w:rFonts w:hint="eastAsia"/>
          <w:color w:val="auto"/>
          <w:lang w:val="en-US" w:eastAsia="zh-CN"/>
        </w:rPr>
        <w:t>表1</w:t>
      </w:r>
      <w:r>
        <w:rPr>
          <w:color w:val="auto"/>
        </w:rPr>
        <w:t>课程项目与学时安排</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5"/>
        <w:gridCol w:w="2295"/>
        <w:gridCol w:w="4401"/>
        <w:gridCol w:w="7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阶段</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学习模块</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主要内容</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建议学时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restart"/>
            <w:shd w:val="clear" w:color="auto" w:fill="auto"/>
            <w:vAlign w:val="center"/>
          </w:tcPr>
          <w:p>
            <w:pPr>
              <w:keepNext w:val="0"/>
              <w:keepLines w:val="0"/>
              <w:widowControl/>
              <w:suppressLineNumbers w:val="0"/>
              <w:jc w:val="left"/>
              <w:rPr>
                <w:rStyle w:val="9"/>
                <w:rFonts w:ascii="宋体" w:hAnsi="宋体" w:eastAsia="宋体" w:cs="宋体"/>
                <w:color w:val="auto"/>
                <w:kern w:val="0"/>
                <w:sz w:val="24"/>
                <w:szCs w:val="24"/>
                <w:lang w:val="en-US" w:eastAsia="zh-CN" w:bidi="ar"/>
              </w:rPr>
            </w:pPr>
            <w:r>
              <w:rPr>
                <w:rStyle w:val="9"/>
                <w:rFonts w:ascii="宋体" w:hAnsi="宋体" w:eastAsia="宋体" w:cs="宋体"/>
                <w:color w:val="auto"/>
                <w:kern w:val="0"/>
                <w:sz w:val="24"/>
                <w:szCs w:val="24"/>
                <w:lang w:val="en-US" w:eastAsia="zh-CN" w:bidi="ar"/>
              </w:rPr>
              <w:t>第一阶段</w:t>
            </w:r>
          </w:p>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(基础夯实)</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模块一：智能代理实务</w:t>
            </w:r>
            <w:r>
              <w:rPr>
                <w:rFonts w:ascii="宋体" w:hAnsi="宋体" w:eastAsia="宋体" w:cs="宋体"/>
                <w:color w:val="auto"/>
                <w:kern w:val="0"/>
                <w:sz w:val="24"/>
                <w:szCs w:val="24"/>
                <w:lang w:val="en-US" w:eastAsia="zh-CN" w:bidi="ar"/>
              </w:rPr>
              <w:t>（初级）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发票代开、票据整理制单、财税规范性审核、小/一般纳税人申报</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模块二：智能外包实务</w:t>
            </w:r>
            <w:r>
              <w:rPr>
                <w:rFonts w:ascii="宋体" w:hAnsi="宋体" w:eastAsia="宋体" w:cs="宋体"/>
                <w:color w:val="auto"/>
                <w:kern w:val="0"/>
                <w:sz w:val="24"/>
                <w:szCs w:val="24"/>
                <w:lang w:val="en-US" w:eastAsia="zh-CN" w:bidi="ar"/>
              </w:rPr>
              <w:t>（初级）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票据/核算/纳税/工资社保外包服务</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模块三：企业管家服务</w:t>
            </w:r>
            <w:r>
              <w:rPr>
                <w:rFonts w:ascii="宋体" w:hAnsi="宋体" w:eastAsia="宋体" w:cs="宋体"/>
                <w:color w:val="auto"/>
                <w:kern w:val="0"/>
                <w:sz w:val="24"/>
                <w:szCs w:val="24"/>
                <w:lang w:val="en-US" w:eastAsia="zh-CN" w:bidi="ar"/>
              </w:rPr>
              <w:t>（初级）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企业设立变更、资金管理、税收/人力/资质管理</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restart"/>
            <w:shd w:val="clear" w:color="auto" w:fill="auto"/>
            <w:vAlign w:val="center"/>
          </w:tcPr>
          <w:p>
            <w:pPr>
              <w:keepNext w:val="0"/>
              <w:keepLines w:val="0"/>
              <w:widowControl/>
              <w:suppressLineNumbers w:val="0"/>
              <w:jc w:val="left"/>
              <w:rPr>
                <w:rStyle w:val="9"/>
                <w:rFonts w:ascii="宋体" w:hAnsi="宋体" w:eastAsia="宋体" w:cs="宋体"/>
                <w:color w:val="auto"/>
                <w:kern w:val="0"/>
                <w:sz w:val="24"/>
                <w:szCs w:val="24"/>
                <w:lang w:val="en-US" w:eastAsia="zh-CN" w:bidi="ar"/>
              </w:rPr>
            </w:pPr>
            <w:r>
              <w:rPr>
                <w:rStyle w:val="9"/>
                <w:rFonts w:ascii="宋体" w:hAnsi="宋体" w:eastAsia="宋体" w:cs="宋体"/>
                <w:color w:val="auto"/>
                <w:kern w:val="0"/>
                <w:sz w:val="24"/>
                <w:szCs w:val="24"/>
                <w:lang w:val="en-US" w:eastAsia="zh-CN" w:bidi="ar"/>
              </w:rPr>
              <w:t>第二阶段</w:t>
            </w:r>
          </w:p>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(能力提升)</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模块四：智能代理实务</w:t>
            </w:r>
            <w:r>
              <w:rPr>
                <w:rFonts w:ascii="宋体" w:hAnsi="宋体" w:eastAsia="宋体" w:cs="宋体"/>
                <w:color w:val="auto"/>
                <w:kern w:val="0"/>
                <w:sz w:val="24"/>
                <w:szCs w:val="24"/>
                <w:lang w:val="en-US" w:eastAsia="zh-CN" w:bidi="ar"/>
              </w:rPr>
              <w:t>（中级）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合同管理、特殊业务处理、期末事项、报表生成与审核</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模块五：智能外包实务</w:t>
            </w:r>
            <w:r>
              <w:rPr>
                <w:rFonts w:ascii="宋体" w:hAnsi="宋体" w:eastAsia="宋体" w:cs="宋体"/>
                <w:color w:val="auto"/>
                <w:kern w:val="0"/>
                <w:sz w:val="24"/>
                <w:szCs w:val="24"/>
                <w:lang w:val="en-US" w:eastAsia="zh-CN" w:bidi="ar"/>
              </w:rPr>
              <w:t>（中级）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商旅报销、薪税、购销、成本及固定资产外包</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模块六：企业管家服务</w:t>
            </w:r>
            <w:r>
              <w:rPr>
                <w:rFonts w:ascii="宋体" w:hAnsi="宋体" w:eastAsia="宋体" w:cs="宋体"/>
                <w:color w:val="auto"/>
                <w:kern w:val="0"/>
                <w:sz w:val="24"/>
                <w:szCs w:val="24"/>
                <w:lang w:val="en-US" w:eastAsia="zh-CN" w:bidi="ar"/>
              </w:rPr>
              <w:t>（中级）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创业计划、组织设立注销、产权服务及综合复习考核</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合计</w:t>
            </w:r>
          </w:p>
        </w:tc>
        <w:tc>
          <w:tcPr>
            <w:tcW w:w="0" w:type="auto"/>
            <w:shd w:val="clear" w:color="auto" w:fill="auto"/>
            <w:vAlign w:val="center"/>
          </w:tcPr>
          <w:p>
            <w:pPr>
              <w:jc w:val="left"/>
              <w:rPr>
                <w:rFonts w:hint="eastAsia" w:ascii="宋体"/>
                <w:color w:val="auto"/>
                <w:sz w:val="24"/>
                <w:szCs w:val="24"/>
              </w:rPr>
            </w:pPr>
          </w:p>
        </w:tc>
        <w:tc>
          <w:tcPr>
            <w:tcW w:w="0" w:type="auto"/>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75</w:t>
            </w:r>
          </w:p>
        </w:tc>
      </w:tr>
    </w:tbl>
    <w:p>
      <w:pPr>
        <w:pStyle w:val="4"/>
        <w:keepNext w:val="0"/>
        <w:keepLines w:val="0"/>
        <w:widowControl/>
        <w:suppressLineNumbers w:val="0"/>
        <w:rPr>
          <w:color w:val="auto"/>
        </w:rPr>
      </w:pPr>
      <w:r>
        <w:rPr>
          <w:color w:val="auto"/>
        </w:rPr>
        <w:t>（二）课程内容</w:t>
      </w:r>
    </w:p>
    <w:p>
      <w:pPr>
        <w:pStyle w:val="6"/>
        <w:keepNext w:val="0"/>
        <w:keepLines w:val="0"/>
        <w:widowControl/>
        <w:suppressLineNumbers w:val="0"/>
        <w:rPr>
          <w:color w:val="auto"/>
        </w:rPr>
      </w:pPr>
      <w:r>
        <w:rPr>
          <w:rStyle w:val="9"/>
          <w:color w:val="auto"/>
        </w:rPr>
        <w:t>表</w:t>
      </w:r>
      <w:r>
        <w:rPr>
          <w:rStyle w:val="9"/>
          <w:rFonts w:hint="eastAsia"/>
          <w:color w:val="auto"/>
          <w:lang w:val="en-US" w:eastAsia="zh-CN"/>
        </w:rPr>
        <w:t>2</w:t>
      </w:r>
      <w:r>
        <w:rPr>
          <w:rStyle w:val="9"/>
          <w:color w:val="auto"/>
        </w:rPr>
        <w:t xml:space="preserve"> 课程内容与教学设计</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7"/>
        <w:gridCol w:w="945"/>
        <w:gridCol w:w="547"/>
        <w:gridCol w:w="605"/>
        <w:gridCol w:w="352"/>
        <w:gridCol w:w="1033"/>
        <w:gridCol w:w="1297"/>
        <w:gridCol w:w="994"/>
        <w:gridCol w:w="1247"/>
        <w:gridCol w:w="10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序号</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模块</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任务编号</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任务名称</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课时</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知识目标</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能力目标</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素质目标</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实训活动设计</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产生成果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1</w:t>
            </w:r>
          </w:p>
        </w:tc>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智能代理实务</w:t>
            </w:r>
            <w:r>
              <w:rPr>
                <w:rFonts w:ascii="宋体" w:hAnsi="宋体" w:eastAsia="宋体" w:cs="宋体"/>
                <w:color w:val="auto"/>
                <w:kern w:val="0"/>
                <w:sz w:val="24"/>
                <w:szCs w:val="24"/>
                <w:lang w:val="en-US" w:eastAsia="zh-CN" w:bidi="ar"/>
              </w:rPr>
              <w:t>（初级）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1-1</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发票代理开具</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4</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掌握纸质/电子发票代开规则</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能为不同资格纳税人代开各类发票</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依法开票，防范虚开风险</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模拟为多家企业代开专票/普票</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已开具发票样本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1-2</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票据整理与制单</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8</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熟悉销售/成本/费用/银行单据规范</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能分类整理票据，进行批量智能制单</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细致耐心，确保票据合规</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整理四类单据并完成系统录入</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记账凭证库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1-3</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财税规范性审核</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4</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掌握财税审核要点与风险指标</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能识别不合规票据并进行修正</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坚持原则，严守审核关口</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对问题账套进行审计与修正</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审核报告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1-4</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税收申报实战</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8</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熟悉小/一般纳税人申报流程</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能独立完成全税种申报与缴纳</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诚信纳税，按时申报</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模拟季度/月度全流程申报</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纳税申报表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2</w:t>
            </w:r>
          </w:p>
        </w:tc>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智能外包实务</w:t>
            </w:r>
            <w:r>
              <w:rPr>
                <w:rFonts w:ascii="宋体" w:hAnsi="宋体" w:eastAsia="宋体" w:cs="宋体"/>
                <w:color w:val="auto"/>
                <w:kern w:val="0"/>
                <w:sz w:val="24"/>
                <w:szCs w:val="24"/>
                <w:lang w:val="en-US" w:eastAsia="zh-CN" w:bidi="ar"/>
              </w:rPr>
              <w:t>（初级）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2-1</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票据与核算外包</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8</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理解外包服务流程与标准</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能完成票据接收、扫描、核算外包任务</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服务意识，高效交付</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模拟共享中心接单打单流程</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外包交付单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2-2</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纳税与薪社外包</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8</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掌握申报外包及社保计算规则</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能代理多家企业申报，处理工资社保</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保密意识，精准计算</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批量处理多家企业薪税业务</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工资表、社保缴纳单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3</w:t>
            </w:r>
          </w:p>
        </w:tc>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企业管家服务</w:t>
            </w:r>
            <w:r>
              <w:rPr>
                <w:rFonts w:ascii="宋体" w:hAnsi="宋体" w:eastAsia="宋体" w:cs="宋体"/>
                <w:color w:val="auto"/>
                <w:kern w:val="0"/>
                <w:sz w:val="24"/>
                <w:szCs w:val="24"/>
                <w:lang w:val="en-US" w:eastAsia="zh-CN" w:bidi="ar"/>
              </w:rPr>
              <w:t>（初级）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3-1</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工商与资金管理</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6</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熟悉企业设立/变更流程及资金规范</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能办理工商注册，进行资金收支管理</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合规经营，资金安全</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模拟新办企业设立及首笔资金业务</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营业执照模拟件、日记账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3-2</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综合事务管理</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4</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掌握税收/人力/资质管理要点</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能处理税务评级、五险一金及资质年检</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全局观念，统筹能力</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处理企业年度综合事务</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年报公示截图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4</w:t>
            </w:r>
          </w:p>
        </w:tc>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智能代理实务</w:t>
            </w:r>
            <w:r>
              <w:rPr>
                <w:rFonts w:ascii="宋体" w:hAnsi="宋体" w:eastAsia="宋体" w:cs="宋体"/>
                <w:color w:val="auto"/>
                <w:kern w:val="0"/>
                <w:sz w:val="24"/>
                <w:szCs w:val="24"/>
                <w:lang w:val="en-US" w:eastAsia="zh-CN" w:bidi="ar"/>
              </w:rPr>
              <w:t>（中级）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4-1</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合同与特殊业务</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6</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掌握合同关联及特殊业务处理逻辑</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能进行合同初始化，处理特殊记账业务</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风险防控，灵活应变</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处理债务重组、非货币性资产交换等</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特殊业务凭证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4-2</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期末与报表审核</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6</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熟悉期末结转及报表勾稽关系</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能完成期末自动转账，生成并审核报表</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严谨细致，数据真实</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完成月末结账，出具三大报表</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财务报表、结账报告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5</w:t>
            </w:r>
          </w:p>
        </w:tc>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智能外包实务</w:t>
            </w:r>
            <w:r>
              <w:rPr>
                <w:rFonts w:ascii="宋体" w:hAnsi="宋体" w:eastAsia="宋体" w:cs="宋体"/>
                <w:color w:val="auto"/>
                <w:kern w:val="0"/>
                <w:sz w:val="24"/>
                <w:szCs w:val="24"/>
                <w:lang w:val="en-US" w:eastAsia="zh-CN" w:bidi="ar"/>
              </w:rPr>
              <w:t>（中级）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5-1</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商旅与购销外包</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5</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掌握差旅报销及购销存一体化流程</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能处理复杂商旅报销，完成购销外包</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成本控制，流程优化</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模拟大型企业差旅报销与采购销售</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报销单、出入库单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5-2</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成本与资产外包</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3</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理解成本分摊及资产管理规范</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能进行多对象成本核算，处理资产外包</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精益求精，资产保全</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完成制造费用分配及资产折旧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成本计算表、资产卡片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6</w:t>
            </w:r>
          </w:p>
        </w:tc>
        <w:tc>
          <w:tcPr>
            <w:tcW w:w="0" w:type="auto"/>
            <w:vMerge w:val="restart"/>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企业管家服务</w:t>
            </w:r>
            <w:r>
              <w:rPr>
                <w:rFonts w:ascii="宋体" w:hAnsi="宋体" w:eastAsia="宋体" w:cs="宋体"/>
                <w:color w:val="auto"/>
                <w:kern w:val="0"/>
                <w:sz w:val="24"/>
                <w:szCs w:val="24"/>
                <w:lang w:val="en-US" w:eastAsia="zh-CN" w:bidi="ar"/>
              </w:rPr>
              <w:t>（中级）</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6-1</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创业与组织管理</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3</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熟悉创业计划及组织注销流程</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能撰写简易创业计划，办理注销业务</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创新精神，善始善终</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模拟企业初创规划及退出机制</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创业计划书、注销证明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6-2</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综合复习与考核</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2</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综合回顾所有知识点</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能限时完成一套完整综合案例</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抗压能力，综合素质</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期末综合大考（机考+实操）</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综合实训报告</w:t>
            </w:r>
          </w:p>
        </w:tc>
      </w:tr>
    </w:tbl>
    <w:p>
      <w:pPr>
        <w:pStyle w:val="3"/>
        <w:keepNext w:val="0"/>
        <w:keepLines w:val="0"/>
        <w:widowControl/>
        <w:suppressLineNumbers w:val="0"/>
        <w:rPr>
          <w:color w:val="auto"/>
        </w:rPr>
      </w:pPr>
      <w:r>
        <w:rPr>
          <w:color w:val="auto"/>
        </w:rPr>
        <w:t>四、课程教学实施</w:t>
      </w:r>
    </w:p>
    <w:p>
      <w:pPr>
        <w:pStyle w:val="4"/>
        <w:keepNext w:val="0"/>
        <w:keepLines w:val="0"/>
        <w:widowControl/>
        <w:suppressLineNumbers w:val="0"/>
        <w:rPr>
          <w:color w:val="auto"/>
        </w:rPr>
      </w:pPr>
      <w:r>
        <w:rPr>
          <w:color w:val="auto"/>
        </w:rPr>
        <w:t>（一）教学团队要求</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color w:val="auto"/>
        </w:rPr>
      </w:pPr>
      <w:r>
        <w:rPr>
          <w:rFonts w:hint="eastAsia" w:ascii="仿宋_GB2312" w:hAnsi="仿宋" w:eastAsia="仿宋_GB2312" w:cs="仿宋"/>
          <w:color w:val="auto"/>
          <w:sz w:val="28"/>
          <w:szCs w:val="28"/>
        </w:rPr>
        <w:t>本课程的实施需要具备大数据与会计技能的专、兼结合的双师型教学团队。</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1.专任教师具体任职条件如下：</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(1) 具有良好的职业道德，能为人师表、教书育人。</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(2) 具有课程整体设计能力和多种教学方法应用能力，能驾驭课堂，有效开展理论教学和实践教学。</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(3) 具有数据素养和大数据工具应用能力。</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(4) 系统掌握智能财税共享服务流程、全税种纳税申报实务、企业工商事务管理、财务机器人应用等知识。</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(5) 每5年有6个月以上的智能财税或代理记账岗位实践锻炼经历，熟悉代账公司作业流程或财务共享中心运营场景，能迅速了解行业企业新技术、新工艺和新标准，能够正确处理实践教学中出现的问题。</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2.企业兼职教师具体任职条件如下：</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(1) 在企业从事管理工作3年以上。</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(2) 经过职业教育培训，能承担起本课程的理论及实践教学任务。</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(3) 取得中级及以上职称资格或具备同等能力水平。</w:t>
      </w:r>
    </w:p>
    <w:p>
      <w:pPr>
        <w:pStyle w:val="4"/>
        <w:keepNext w:val="0"/>
        <w:keepLines w:val="0"/>
        <w:widowControl/>
        <w:suppressLineNumbers w:val="0"/>
        <w:rPr>
          <w:rFonts w:hint="default" w:eastAsia="宋体"/>
          <w:color w:val="auto"/>
          <w:lang w:val="en-US" w:eastAsia="zh-CN"/>
        </w:rPr>
      </w:pPr>
      <w:r>
        <w:rPr>
          <w:color w:val="auto"/>
        </w:rPr>
        <w:t>（二）教材</w:t>
      </w:r>
      <w:r>
        <w:rPr>
          <w:rFonts w:hint="eastAsia"/>
          <w:color w:val="auto"/>
          <w:lang w:val="en-US" w:eastAsia="zh-CN"/>
        </w:rPr>
        <w:t>编写</w:t>
      </w:r>
      <w:r>
        <w:rPr>
          <w:color w:val="auto"/>
        </w:rPr>
        <w:t>与</w:t>
      </w:r>
      <w:r>
        <w:rPr>
          <w:rFonts w:hint="eastAsia"/>
          <w:color w:val="auto"/>
          <w:lang w:val="en-US" w:eastAsia="zh-CN"/>
        </w:rPr>
        <w:t>选用建议</w:t>
      </w:r>
    </w:p>
    <w:p>
      <w:pPr>
        <w:pStyle w:val="6"/>
        <w:adjustRightInd w:val="0"/>
        <w:snapToGrid w:val="0"/>
        <w:spacing w:beforeAutospacing="0" w:afterAutospacing="0" w:line="360" w:lineRule="auto"/>
        <w:ind w:firstLine="560" w:firstLineChars="200"/>
        <w:jc w:val="both"/>
        <w:rPr>
          <w:rFonts w:hint="eastAsia" w:ascii="仿宋_GB2312" w:hAnsi="仿宋" w:eastAsia="仿宋_GB2312" w:cs="仿宋"/>
          <w:color w:val="auto"/>
          <w:sz w:val="28"/>
          <w:szCs w:val="28"/>
        </w:rPr>
      </w:pPr>
      <w:r>
        <w:rPr>
          <w:rFonts w:hint="eastAsia" w:ascii="仿宋_GB2312" w:hAnsi="仿宋" w:eastAsia="仿宋_GB2312" w:cs="仿宋"/>
          <w:color w:val="auto"/>
          <w:sz w:val="28"/>
          <w:szCs w:val="28"/>
        </w:rPr>
        <w:t>本课程对应教材的选编应遵守国家《职业院校教材管理办法》文件精神，服从国家、省厅、学校教材建设规划，满足意识形态正确、质量第一、适宜教学等基本要求。</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lang w:val="en-US" w:eastAsia="zh-CN"/>
        </w:rPr>
      </w:pPr>
      <w:r>
        <w:rPr>
          <w:rFonts w:hint="eastAsia"/>
          <w:color w:val="auto"/>
          <w:lang w:val="en-US" w:eastAsia="zh-CN"/>
        </w:rPr>
        <w:t>1.</w:t>
      </w:r>
      <w:r>
        <w:rPr>
          <w:color w:val="auto"/>
        </w:rPr>
        <w:t>教材选用</w:t>
      </w:r>
      <w:r>
        <w:rPr>
          <w:rFonts w:hint="eastAsia"/>
          <w:color w:val="auto"/>
          <w:lang w:val="en-US" w:eastAsia="zh-CN"/>
        </w:rPr>
        <w:t>建议</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选用《</w:t>
      </w:r>
      <w:r>
        <w:rPr>
          <w:rFonts w:hint="eastAsia"/>
          <w:color w:val="auto"/>
          <w:lang w:val="en-US" w:eastAsia="zh-CN"/>
        </w:rPr>
        <w:t>财务</w:t>
      </w:r>
      <w:r>
        <w:rPr>
          <w:color w:val="auto"/>
        </w:rPr>
        <w:t>共享</w:t>
      </w:r>
      <w:r>
        <w:rPr>
          <w:rFonts w:hint="eastAsia"/>
          <w:color w:val="auto"/>
          <w:lang w:val="en-US" w:eastAsia="zh-CN"/>
        </w:rPr>
        <w:t>服务</w:t>
      </w:r>
      <w:r>
        <w:rPr>
          <w:color w:val="auto"/>
        </w:rPr>
        <w:t>实务</w:t>
      </w:r>
      <w:r>
        <w:rPr>
          <w:rFonts w:hint="eastAsia"/>
          <w:color w:val="auto"/>
          <w:lang w:eastAsia="zh-CN"/>
        </w:rPr>
        <w:t>（</w:t>
      </w:r>
      <w:r>
        <w:rPr>
          <w:rFonts w:hint="eastAsia"/>
          <w:color w:val="auto"/>
          <w:lang w:val="en-US" w:eastAsia="zh-CN"/>
        </w:rPr>
        <w:t>初级</w:t>
      </w:r>
      <w:r>
        <w:rPr>
          <w:rFonts w:hint="eastAsia"/>
          <w:color w:val="auto"/>
          <w:lang w:eastAsia="zh-CN"/>
        </w:rPr>
        <w:t>）</w:t>
      </w:r>
      <w:r>
        <w:rPr>
          <w:color w:val="auto"/>
        </w:rPr>
        <w:t>》、《</w:t>
      </w:r>
      <w:r>
        <w:rPr>
          <w:rFonts w:hint="eastAsia"/>
          <w:color w:val="auto"/>
          <w:lang w:val="en-US" w:eastAsia="zh-CN"/>
        </w:rPr>
        <w:t>财务</w:t>
      </w:r>
      <w:r>
        <w:rPr>
          <w:color w:val="auto"/>
        </w:rPr>
        <w:t>共享</w:t>
      </w:r>
      <w:r>
        <w:rPr>
          <w:rFonts w:hint="eastAsia"/>
          <w:color w:val="auto"/>
          <w:lang w:val="en-US" w:eastAsia="zh-CN"/>
        </w:rPr>
        <w:t>服务</w:t>
      </w:r>
      <w:r>
        <w:rPr>
          <w:color w:val="auto"/>
        </w:rPr>
        <w:t>实务</w:t>
      </w:r>
      <w:r>
        <w:rPr>
          <w:rFonts w:hint="eastAsia"/>
          <w:color w:val="auto"/>
          <w:lang w:eastAsia="zh-CN"/>
        </w:rPr>
        <w:t>（</w:t>
      </w:r>
      <w:r>
        <w:rPr>
          <w:rFonts w:hint="eastAsia"/>
          <w:color w:val="auto"/>
          <w:lang w:val="en-US" w:eastAsia="zh-CN"/>
        </w:rPr>
        <w:t>中级</w:t>
      </w:r>
      <w:r>
        <w:rPr>
          <w:rFonts w:hint="eastAsia"/>
          <w:color w:val="auto"/>
          <w:lang w:eastAsia="zh-CN"/>
        </w:rPr>
        <w:t>）</w:t>
      </w:r>
      <w:r>
        <w:rPr>
          <w:color w:val="auto"/>
        </w:rPr>
        <w:t>》系列活页式教材（配套智能实训平台）。</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rPr>
      </w:pPr>
      <w:r>
        <w:rPr>
          <w:rFonts w:hint="eastAsia"/>
          <w:color w:val="auto"/>
          <w:lang w:val="en-US" w:eastAsia="zh-CN"/>
        </w:rPr>
        <w:t>2.</w:t>
      </w:r>
      <w:r>
        <w:rPr>
          <w:rFonts w:hint="eastAsia"/>
          <w:color w:val="auto"/>
        </w:rPr>
        <w:t>教材编写建议</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rPr>
      </w:pPr>
      <w:r>
        <w:rPr>
          <w:rFonts w:hint="eastAsia"/>
          <w:color w:val="auto"/>
        </w:rPr>
        <w:t>鼓励按照本课程标准和课程实施的实际需要，与具有会计数字化业务场景与教学场景实时融合的应用性平台和行业领先财税服务商（如代账公司、税务师事务所、财务共享中心）的企业合作，共同编写开发《智能财税综合实训》新形态教材。</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rPr>
      </w:pPr>
      <w:r>
        <w:rPr>
          <w:rFonts w:hint="eastAsia"/>
          <w:color w:val="auto"/>
        </w:rPr>
        <w:t>编写教材时必须依据课程标准，确保教材内容与课程目标相符；教材内容要紧扣业财融合、动态场景教学、价值创造、风险管控等要求，打破传统学科知识体系，将会计、税务、工商管理、内部控制、信息技术等多课程多学科相关知识进行重构，对接智能财税专员、共享中心核算员、税务助理岗位新需求，注重学科前沿动态和最新研究成果的介绍，以帮助学生了解《本课程》的研究动态和发展趋势；教材编写人员所在单位党组织应对其政治表现进行审查，无师德师风问题。</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olor w:val="auto"/>
        </w:rPr>
      </w:pPr>
      <w:r>
        <w:rPr>
          <w:rFonts w:hint="eastAsia"/>
          <w:color w:val="auto"/>
          <w:lang w:val="en-US" w:eastAsia="zh-CN"/>
        </w:rPr>
        <w:t>3.</w:t>
      </w:r>
      <w:r>
        <w:rPr>
          <w:rFonts w:hint="eastAsia"/>
          <w:color w:val="auto"/>
        </w:rPr>
        <w:t>教学配套资源开发建议</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rPr>
        <w:t>开发配套的微课视频（涵盖数电票开具、一键报税等关键技能点）、操作演示录屏、典型业务案例库（包含真实脱敏账套、常见税务风险案例）、易错点题库、企业真实工单素材及虚拟仿真教学项目等资源，构建“纸数融合”的立体化教学资源体系。</w:t>
      </w:r>
      <w:r>
        <w:rPr>
          <w:color w:val="auto"/>
        </w:rPr>
        <w:t>依托超星平台，建设包含操作微课、真实脱敏账套、常见错误案例库、最新财税政策解读视频等资源库。</w:t>
      </w:r>
    </w:p>
    <w:p>
      <w:pPr>
        <w:pStyle w:val="4"/>
        <w:keepNext w:val="0"/>
        <w:keepLines w:val="0"/>
        <w:widowControl/>
        <w:suppressLineNumbers w:val="0"/>
        <w:rPr>
          <w:rFonts w:hint="eastAsia" w:eastAsia="宋体"/>
          <w:color w:val="auto"/>
          <w:lang w:val="en-US" w:eastAsia="zh-CN"/>
        </w:rPr>
      </w:pPr>
      <w:r>
        <w:rPr>
          <w:color w:val="auto"/>
        </w:rPr>
        <w:t>（三）教学方法</w:t>
      </w:r>
      <w:r>
        <w:rPr>
          <w:rFonts w:hint="eastAsia"/>
          <w:color w:val="auto"/>
          <w:lang w:val="en-US" w:eastAsia="zh-CN"/>
        </w:rPr>
        <w:t>建议</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1</w:t>
      </w:r>
      <w:r>
        <w:rPr>
          <w:rFonts w:hint="eastAsia"/>
          <w:color w:val="auto"/>
          <w:lang w:eastAsia="zh-CN"/>
        </w:rPr>
        <w:t>.</w:t>
      </w:r>
      <w:r>
        <w:rPr>
          <w:color w:val="auto"/>
        </w:rPr>
        <w:t xml:space="preserve">教学方法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 xml:space="preserve">本课程教学方法主要包括理实一体化教学法、任务驱动教学法、案例教学法、情境模拟教学法、项目导向教学法等。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 xml:space="preserve">2.教学手段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 xml:space="preserve">（1）多媒体教学手段：多媒体教学手段主要包括电子课件、投影、视频、音频、多媒体教学软件等。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 xml:space="preserve">（2）网络教学手段：教师开展线上线下混合学习时可依托中国MOOC大学、超星、智慧职教、智慧树等平台进行网络教学。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（3）工具应用手段：教师可根据所熟知的财务业务及对行业企业技术、工艺及标准的了解，依托理实一体融合型平台自定义构建可拓展学习的财务业务场景及流程。</w:t>
      </w:r>
    </w:p>
    <w:p>
      <w:pPr>
        <w:pStyle w:val="4"/>
        <w:keepNext w:val="0"/>
        <w:keepLines w:val="0"/>
        <w:widowControl/>
        <w:suppressLineNumbers w:val="0"/>
        <w:rPr>
          <w:color w:val="auto"/>
        </w:rPr>
      </w:pPr>
      <w:r>
        <w:rPr>
          <w:color w:val="auto"/>
        </w:rPr>
        <w:t>（四）</w:t>
      </w:r>
      <w:r>
        <w:rPr>
          <w:rFonts w:hint="eastAsia"/>
          <w:color w:val="auto"/>
          <w:lang w:val="en-US" w:eastAsia="zh-CN"/>
        </w:rPr>
        <w:t>教学资源</w:t>
      </w:r>
      <w:r>
        <w:rPr>
          <w:color w:val="auto"/>
        </w:rPr>
        <w:t>条件</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lang w:val="en-US" w:eastAsia="zh-CN"/>
        </w:rPr>
        <w:t>1.</w:t>
      </w:r>
      <w:r>
        <w:rPr>
          <w:color w:val="auto"/>
        </w:rPr>
        <w:t xml:space="preserve">课程资源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本课程应开发配套的课程资源，包括教案设计、教学课件、录课视频、微课视频、动态场景素材、场景任务、案例库、法规库、题库、考试样题、行业企业政策、知识等课程教学资源库。引导教师和学生利用</w:t>
      </w:r>
      <w:r>
        <w:rPr>
          <w:rFonts w:hint="eastAsia"/>
          <w:color w:val="auto"/>
          <w:lang w:val="en-US" w:eastAsia="zh-CN"/>
        </w:rPr>
        <w:t>智慧课程平台或</w:t>
      </w:r>
      <w:r>
        <w:rPr>
          <w:color w:val="auto"/>
        </w:rPr>
        <w:t>国家智慧教育平台和国家（省）级在线精品课程网站提供的相关资源。</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lang w:val="en-US" w:eastAsia="zh-CN"/>
        </w:rPr>
        <w:t>2.</w:t>
      </w:r>
      <w:r>
        <w:rPr>
          <w:color w:val="auto"/>
        </w:rPr>
        <w:t xml:space="preserve">教学平台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本课程应依托</w:t>
      </w:r>
      <w:r>
        <w:rPr>
          <w:rFonts w:hint="eastAsia"/>
          <w:color w:val="auto"/>
          <w:lang w:val="en-US" w:eastAsia="zh-CN"/>
        </w:rPr>
        <w:t>智慧课程平台或</w:t>
      </w:r>
      <w:r>
        <w:rPr>
          <w:color w:val="auto"/>
        </w:rPr>
        <w:t>国家（省）级在线开放课程互联网教学平台或者采用符合国家有关互联网平台条件的基于真实企业生产经营活动中全流程、全业务场景的平台上搭建的理实一体课程教学平台，开展线上线下混合式教学，并对学生学习情况进行分析和反馈。</w:t>
      </w:r>
    </w:p>
    <w:p>
      <w:pPr>
        <w:pStyle w:val="4"/>
        <w:keepNext w:val="0"/>
        <w:keepLines w:val="0"/>
        <w:widowControl/>
        <w:suppressLineNumbers w:val="0"/>
        <w:rPr>
          <w:color w:val="auto"/>
        </w:rPr>
      </w:pPr>
      <w:r>
        <w:rPr>
          <w:color w:val="auto"/>
        </w:rPr>
        <w:t>（五）实践教学条件</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lang w:val="en-US" w:eastAsia="zh-CN"/>
        </w:rPr>
        <w:t>1.</w:t>
      </w:r>
      <w:r>
        <w:rPr>
          <w:color w:val="auto"/>
        </w:rPr>
        <w:t xml:space="preserve">教学场所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 xml:space="preserve">（1）具备大数据与会计认知的软硬件环境；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 xml:space="preserve">（2）具有财务软件操作基本技能训练功能的实训室；配备主流财务软件实训软件的网络环境的计算机机房；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（3）具有可建设智慧学习空间，如智慧教室。</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lang w:val="en-US" w:eastAsia="zh-CN"/>
        </w:rPr>
        <w:t>2.</w:t>
      </w:r>
      <w:r>
        <w:rPr>
          <w:color w:val="auto"/>
        </w:rPr>
        <w:t>实训设备</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主要包括：搭载财务实训软件的网络服务器、安装有实训操作软件的操作终端计算机、网络设备。</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lang w:val="en-US" w:eastAsia="zh-CN"/>
        </w:rPr>
        <w:t>3.</w:t>
      </w:r>
      <w:r>
        <w:rPr>
          <w:color w:val="auto"/>
        </w:rPr>
        <w:t xml:space="preserve">实训软件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实践教学场所应当配备满足课程实训任务开展的财务链综合实训软件，软件内需满足能动态构建企业财务业务不同流程、业务场景的工具及数据，并能与供应链实训、税务实训等软件实现数据贯通共享，能融合企业实际业务场景与教学同频应用的综合性平台。</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p>
    <w:p>
      <w:pPr>
        <w:pStyle w:val="3"/>
        <w:keepNext w:val="0"/>
        <w:keepLines w:val="0"/>
        <w:widowControl/>
        <w:suppressLineNumbers w:val="0"/>
        <w:rPr>
          <w:color w:val="auto"/>
        </w:rPr>
      </w:pPr>
      <w:r>
        <w:rPr>
          <w:color w:val="auto"/>
        </w:rPr>
        <w:t>五、教学重点难点</w:t>
      </w:r>
    </w:p>
    <w:p>
      <w:pPr>
        <w:pStyle w:val="4"/>
        <w:keepNext w:val="0"/>
        <w:keepLines w:val="0"/>
        <w:widowControl/>
        <w:suppressLineNumbers w:val="0"/>
        <w:rPr>
          <w:color w:val="auto"/>
        </w:rPr>
      </w:pPr>
      <w:r>
        <w:rPr>
          <w:color w:val="auto"/>
        </w:rPr>
        <w:t>（一）教学重点</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票据智能化处理：发票查验、自动识票、批量制单及合规性审核。</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全税种申报：小规模与一般纳税人增值税、所得税及附加税费的准确申报。</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外包服务流程：理解并执行共享中心标准化的接单、处理、交付流程。</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特殊业务处理：中级阶段的合同管理、成本核算及期末报表勾稽关系。</w:t>
      </w:r>
    </w:p>
    <w:p>
      <w:pPr>
        <w:pStyle w:val="4"/>
        <w:keepNext w:val="0"/>
        <w:keepLines w:val="0"/>
        <w:widowControl/>
        <w:suppressLineNumbers w:val="0"/>
        <w:rPr>
          <w:color w:val="auto"/>
        </w:rPr>
      </w:pPr>
      <w:r>
        <w:rPr>
          <w:color w:val="auto"/>
        </w:rPr>
        <w:t>（二）教学难点</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财税风险识别：在海量票据中快速识别虚假发票、异常交易及税务风险点。</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复杂业务逻辑：中级阶段的多部门协同、成本精细化分摊及特殊会计准则应用。</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角色转换适应：从“学生做题”思维向“员工交付”思维转变，适应时效性与准确率的双重考核。</w:t>
      </w:r>
    </w:p>
    <w:p>
      <w:pPr>
        <w:pStyle w:val="3"/>
        <w:keepNext w:val="0"/>
        <w:keepLines w:val="0"/>
        <w:widowControl/>
        <w:suppressLineNumbers w:val="0"/>
        <w:rPr>
          <w:color w:val="auto"/>
        </w:rPr>
      </w:pPr>
      <w:r>
        <w:rPr>
          <w:color w:val="auto"/>
        </w:rPr>
        <w:t>六、课程考核与评价</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color w:val="auto"/>
        </w:rPr>
        <w:t>本课程采用过程性评价（60%） + 终结性评价（40%）的考核方式，强调“以果导因”，注重交付质量。</w:t>
      </w:r>
    </w:p>
    <w:p>
      <w:pPr>
        <w:pStyle w:val="6"/>
        <w:keepNext w:val="0"/>
        <w:keepLines w:val="0"/>
        <w:widowControl/>
        <w:suppressLineNumbers w:val="0"/>
        <w:rPr>
          <w:color w:val="auto"/>
        </w:rPr>
      </w:pPr>
      <w:r>
        <w:rPr>
          <w:rStyle w:val="9"/>
          <w:color w:val="auto"/>
        </w:rPr>
        <w:t>表2 课程考核评价体系</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4"/>
        <w:gridCol w:w="968"/>
        <w:gridCol w:w="476"/>
        <w:gridCol w:w="59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评价维度</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考核项目</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权重</w:t>
            </w:r>
          </w:p>
        </w:tc>
        <w:tc>
          <w:tcPr>
            <w:tcW w:w="0" w:type="auto"/>
            <w:shd w:val="clear" w:color="auto" w:fill="auto"/>
            <w:vAlign w:val="center"/>
          </w:tcPr>
          <w:p>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考核标准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vMerge w:val="restart"/>
            <w:shd w:val="clear" w:color="auto" w:fill="auto"/>
            <w:vAlign w:val="center"/>
          </w:tcPr>
          <w:p>
            <w:pPr>
              <w:keepNext w:val="0"/>
              <w:keepLines w:val="0"/>
              <w:widowControl/>
              <w:suppressLineNumbers w:val="0"/>
              <w:jc w:val="left"/>
              <w:rPr>
                <w:rStyle w:val="9"/>
                <w:rFonts w:ascii="宋体" w:hAnsi="宋体" w:eastAsia="宋体" w:cs="宋体"/>
                <w:color w:val="auto"/>
                <w:kern w:val="0"/>
                <w:sz w:val="24"/>
                <w:szCs w:val="24"/>
                <w:lang w:val="en-US" w:eastAsia="zh-CN" w:bidi="ar"/>
              </w:rPr>
            </w:pPr>
            <w:r>
              <w:rPr>
                <w:rStyle w:val="9"/>
                <w:rFonts w:ascii="宋体" w:hAnsi="宋体" w:eastAsia="宋体" w:cs="宋体"/>
                <w:color w:val="auto"/>
                <w:kern w:val="0"/>
                <w:sz w:val="24"/>
                <w:szCs w:val="24"/>
                <w:lang w:val="en-US" w:eastAsia="zh-CN" w:bidi="ar"/>
              </w:rPr>
              <w:t>过程性评价</w:t>
            </w:r>
          </w:p>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(60%)</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日常工单完成度</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30%</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依据系统自动评分：准确率、及时率、退回修改次数。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职业素养表现</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15%</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考勤、团队协作、操作规范、数据保密意识、工位整洁度。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vMerge w:val="continue"/>
            <w:shd w:val="clear" w:color="auto" w:fill="auto"/>
            <w:vAlign w:val="center"/>
          </w:tcPr>
          <w:p>
            <w:pPr>
              <w:jc w:val="left"/>
              <w:rPr>
                <w:rFonts w:hint="eastAsia" w:ascii="宋体"/>
                <w:color w:val="auto"/>
                <w:sz w:val="24"/>
                <w:szCs w:val="24"/>
              </w:rPr>
            </w:pP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阶段性测试</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15%</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每个模块结束后的实操小测（如：发票开具专项、申报专项）。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Style w:val="9"/>
                <w:rFonts w:ascii="宋体" w:hAnsi="宋体" w:eastAsia="宋体" w:cs="宋体"/>
                <w:color w:val="auto"/>
                <w:kern w:val="0"/>
                <w:sz w:val="24"/>
                <w:szCs w:val="24"/>
                <w:lang w:val="en-US" w:eastAsia="zh-CN" w:bidi="ar"/>
              </w:rPr>
            </w:pPr>
            <w:r>
              <w:rPr>
                <w:rStyle w:val="9"/>
                <w:rFonts w:ascii="宋体" w:hAnsi="宋体" w:eastAsia="宋体" w:cs="宋体"/>
                <w:color w:val="auto"/>
                <w:kern w:val="0"/>
                <w:sz w:val="24"/>
                <w:szCs w:val="24"/>
                <w:lang w:val="en-US" w:eastAsia="zh-CN" w:bidi="ar"/>
              </w:rPr>
              <w:t>终结性评价</w:t>
            </w:r>
          </w:p>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(40%)</w:t>
            </w:r>
          </w:p>
        </w:tc>
        <w:tc>
          <w:tcPr>
            <w:tcW w:w="0" w:type="auto"/>
            <w:shd w:val="clear" w:color="auto" w:fill="auto"/>
            <w:vAlign w:val="center"/>
          </w:tcPr>
          <w:p>
            <w:pPr>
              <w:keepNext w:val="0"/>
              <w:keepLines w:val="0"/>
              <w:widowControl/>
              <w:suppressLineNumbers w:val="0"/>
              <w:jc w:val="left"/>
              <w:rPr>
                <w:color w:val="auto"/>
              </w:rPr>
            </w:pPr>
            <w:r>
              <w:rPr>
                <w:rStyle w:val="9"/>
                <w:rFonts w:ascii="宋体" w:hAnsi="宋体" w:eastAsia="宋体" w:cs="宋体"/>
                <w:color w:val="auto"/>
                <w:kern w:val="0"/>
                <w:sz w:val="24"/>
                <w:szCs w:val="24"/>
                <w:lang w:val="en-US" w:eastAsia="zh-CN" w:bidi="ar"/>
              </w:rPr>
              <w:t>综合实战大考</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40%</w:t>
            </w:r>
          </w:p>
        </w:tc>
        <w:tc>
          <w:tcPr>
            <w:tcW w:w="0" w:type="auto"/>
            <w:shd w:val="clear" w:color="auto" w:fill="auto"/>
            <w:vAlign w:val="center"/>
          </w:tcPr>
          <w:p>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限时完成一套包含“设立-核算-申报-报表-注销”全流程的综合案例。要求：数据零差错、报表平衡、申报成功。</w:t>
            </w:r>
          </w:p>
        </w:tc>
      </w:tr>
    </w:tbl>
    <w:p>
      <w:pPr>
        <w:pStyle w:val="6"/>
        <w:keepNext w:val="0"/>
        <w:keepLines w:val="0"/>
        <w:widowControl/>
        <w:suppressLineNumbers w:val="0"/>
        <w:rPr>
          <w:color w:val="auto"/>
        </w:rPr>
      </w:pPr>
      <w:r>
        <w:rPr>
          <w:rStyle w:val="9"/>
          <w:color w:val="auto"/>
        </w:rPr>
        <w:t>增值评价</w:t>
      </w:r>
      <w:r>
        <w:rPr>
          <w:color w:val="auto"/>
        </w:rPr>
        <w:t>：对于在实训中表现出创新思维（如优化操作流程）、获得相关职业技能等级证书（如智能财税证书）或在技能大赛中获奖的学生，给予额外加分。</w:t>
      </w:r>
    </w:p>
    <w:p>
      <w:pPr>
        <w:pStyle w:val="3"/>
        <w:keepNext w:val="0"/>
        <w:keepLines w:val="0"/>
        <w:widowControl/>
        <w:suppressLineNumbers w:val="0"/>
        <w:rPr>
          <w:color w:val="auto"/>
        </w:rPr>
      </w:pPr>
      <w:r>
        <w:rPr>
          <w:color w:val="auto"/>
        </w:rPr>
        <w:t>七、编制说明</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lang w:val="en-US" w:eastAsia="zh-CN"/>
        </w:rPr>
        <w:t>1.</w:t>
      </w:r>
      <w:r>
        <w:rPr>
          <w:color w:val="auto"/>
        </w:rPr>
        <w:t>本课程标准在使用过程中，要根据教学情况不断进行完善与修订。</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lang w:val="en-US" w:eastAsia="zh-CN"/>
        </w:rPr>
        <w:t>2.</w:t>
      </w:r>
      <w:r>
        <w:rPr>
          <w:color w:val="auto"/>
        </w:rPr>
        <w:t>任课老师可以根据教学情况，制定教学计划，设计更加详细、完善的项目（单元）教学方案。</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lang w:val="en-US" w:eastAsia="zh-CN"/>
        </w:rPr>
        <w:t>3.</w:t>
      </w:r>
      <w:r>
        <w:rPr>
          <w:color w:val="auto"/>
        </w:rPr>
        <w:t>本课程参考课时可以根据各学校实际情况予以调整，以保证课程教学的正常实施。</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lang w:val="en-US" w:eastAsia="zh-CN"/>
        </w:rPr>
        <w:t>5.</w:t>
      </w:r>
      <w:r>
        <w:rPr>
          <w:color w:val="auto"/>
        </w:rPr>
        <w:t>动态更新机制：鉴于财税政策（如数电票推广、税收优惠）更新频繁，课程内容应每学期根据最新政策进行动态调整。</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eastAsia"/>
          <w:color w:val="auto"/>
          <w:lang w:val="en-US" w:eastAsia="zh-CN"/>
        </w:rPr>
        <w:t>6.</w:t>
      </w:r>
      <w:r>
        <w:rPr>
          <w:color w:val="auto"/>
        </w:rPr>
        <w:t>课证融通：本课程教学内容涵盖“智能财税职业技能等级证书”初级与中级考点，鼓励学生考取相关证书，实现课证互通。</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color w:val="auto"/>
        </w:rPr>
      </w:pPr>
    </w:p>
    <w:p>
      <w:pPr>
        <w:keepNext w:val="0"/>
        <w:keepLines w:val="0"/>
        <w:widowControl/>
        <w:suppressLineNumbers w:val="0"/>
        <w:rPr>
          <w:color w:val="auto"/>
        </w:rPr>
      </w:pPr>
      <w:r>
        <w:rPr>
          <w:color w:val="auto"/>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6"/>
        <w:keepNext w:val="0"/>
        <w:keepLines w:val="0"/>
        <w:widowControl/>
        <w:suppressLineNumbers w:val="0"/>
        <w:rPr>
          <w:color w:val="auto"/>
        </w:rPr>
      </w:pPr>
      <w:r>
        <w:rPr>
          <w:rStyle w:val="9"/>
          <w:color w:val="auto"/>
        </w:rPr>
        <w:t>《智能财税综合实训》课程</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eastAsiaTheme="minorEastAsia"/>
          <w:color w:val="auto"/>
          <w:lang w:val="en-US" w:eastAsia="zh-CN"/>
        </w:rPr>
      </w:pPr>
      <w:r>
        <w:rPr>
          <w:rStyle w:val="9"/>
          <w:color w:val="auto"/>
        </w:rPr>
        <w:t>课程负责人</w:t>
      </w:r>
      <w:r>
        <w:rPr>
          <w:color w:val="auto"/>
        </w:rPr>
        <w:t>：</w:t>
      </w:r>
      <w:r>
        <w:rPr>
          <w:rFonts w:hint="eastAsia"/>
          <w:color w:val="auto"/>
          <w:lang w:val="en-US" w:eastAsia="zh-CN"/>
        </w:rPr>
        <w:t>梅林</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color w:val="auto"/>
        </w:rPr>
      </w:pPr>
      <w:r>
        <w:rPr>
          <w:rStyle w:val="9"/>
          <w:color w:val="auto"/>
        </w:rPr>
        <w:t>课程组成员</w:t>
      </w:r>
      <w:r>
        <w:rPr>
          <w:color w:val="auto"/>
        </w:rPr>
        <w:t>：</w:t>
      </w:r>
      <w:r>
        <w:rPr>
          <w:rFonts w:hint="eastAsia"/>
          <w:color w:val="auto"/>
          <w:lang w:val="en-US" w:eastAsia="zh-CN"/>
        </w:rPr>
        <w:t>邓莉、刘婷婷、夏卫红</w:t>
      </w:r>
      <w:r>
        <w:rPr>
          <w:color w:val="auto"/>
        </w:rPr>
        <w:t xml:space="preserve">等。 </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default" w:eastAsiaTheme="minorEastAsia"/>
          <w:color w:val="auto"/>
          <w:lang w:val="en-US" w:eastAsia="zh-CN"/>
        </w:rPr>
      </w:pPr>
      <w:r>
        <w:rPr>
          <w:rStyle w:val="9"/>
          <w:color w:val="auto"/>
        </w:rPr>
        <w:t>审核人员</w:t>
      </w:r>
      <w:r>
        <w:rPr>
          <w:color w:val="auto"/>
        </w:rPr>
        <w:t>：</w:t>
      </w:r>
      <w:r>
        <w:rPr>
          <w:rFonts w:hint="eastAsia"/>
          <w:color w:val="auto"/>
          <w:lang w:val="en-US" w:eastAsia="zh-CN"/>
        </w:rPr>
        <w:t>刘熠</w:t>
      </w:r>
      <w:bookmarkStart w:id="0" w:name="_GoBack"/>
      <w:bookmarkEnd w:id="0"/>
    </w:p>
    <w:p>
      <w:pPr>
        <w:pStyle w:val="6"/>
        <w:keepNext w:val="0"/>
        <w:keepLines w:val="0"/>
        <w:widowControl/>
        <w:suppressLineNumbers w:val="0"/>
        <w:rPr>
          <w:color w:val="auto"/>
        </w:rPr>
      </w:pPr>
      <w:r>
        <w:rPr>
          <w:color w:val="auto"/>
        </w:rPr>
        <w:t>本标准于 202</w:t>
      </w:r>
      <w:r>
        <w:rPr>
          <w:rFonts w:hint="eastAsia"/>
          <w:color w:val="auto"/>
          <w:lang w:val="en-US" w:eastAsia="zh-CN"/>
        </w:rPr>
        <w:t>6</w:t>
      </w:r>
      <w:r>
        <w:rPr>
          <w:color w:val="auto"/>
        </w:rPr>
        <w:t xml:space="preserve"> 年 0</w:t>
      </w:r>
      <w:r>
        <w:rPr>
          <w:rFonts w:hint="eastAsia"/>
          <w:color w:val="auto"/>
          <w:lang w:val="en-US" w:eastAsia="zh-CN"/>
        </w:rPr>
        <w:t>2</w:t>
      </w:r>
      <w:r>
        <w:rPr>
          <w:color w:val="auto"/>
        </w:rPr>
        <w:t xml:space="preserve"> 月 首次发布。</w:t>
      </w:r>
    </w:p>
    <w:p>
      <w:pPr>
        <w:rPr>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000000"/>
    <w:rsid w:val="254D52D5"/>
    <w:rsid w:val="2B456720"/>
    <w:rsid w:val="607E3C58"/>
    <w:rsid w:val="6EB30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autoRedefine/>
    <w:semiHidden/>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autoRedefine/>
    <w:qFormat/>
    <w:uiPriority w:val="0"/>
    <w:rPr>
      <w:b/>
    </w:rPr>
  </w:style>
  <w:style w:type="character" w:styleId="10">
    <w:name w:val="Emphasis"/>
    <w:basedOn w:val="8"/>
    <w:autoRedefine/>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2026-03-01T09:45:00Z</dcterms:created>
  <dc:creator>梅林</dc:creator>
  <cp:lastModifiedBy>may</cp:lastModifiedBy>
  <dcterms:modified xsi:type="dcterms:W3CDTF">2026-03-08T14:29:11Z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FBE43F7CBB5C4477A1C90B13461C1522_12</vt:lpwstr>
  </property>
</Properties>
</file>