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baseline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sz w:val="20"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sz w:val="20"/>
        </w:rPr>
      </w:pPr>
    </w:p>
    <w:tbl>
      <w:tblPr>
        <w:tblStyle w:val="3"/>
        <w:tblW w:w="45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891"/>
        <w:gridCol w:w="1117"/>
        <w:gridCol w:w="1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课程名称：</w:t>
            </w:r>
          </w:p>
        </w:tc>
        <w:tc>
          <w:tcPr>
            <w:tcW w:w="5770" w:type="dxa"/>
            <w:gridSpan w:val="3"/>
            <w:vAlign w:val="bottom"/>
          </w:tcPr>
          <w:p>
            <w:pPr>
              <w:spacing w:line="900" w:lineRule="exact"/>
              <w:ind w:firstLine="36" w:firstLineChars="13"/>
              <w:jc w:val="lef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     计算机网络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>实验</w:t>
            </w:r>
            <w:r>
              <w:rPr>
                <w:sz w:val="28"/>
                <w:szCs w:val="28"/>
                <w:u w:val="single" w:color="333333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学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院：</w:t>
            </w:r>
          </w:p>
        </w:tc>
        <w:tc>
          <w:tcPr>
            <w:tcW w:w="5770" w:type="dxa"/>
            <w:gridSpan w:val="3"/>
            <w:vAlign w:val="bottom"/>
          </w:tcPr>
          <w:p>
            <w:pPr>
              <w:spacing w:line="900" w:lineRule="exact"/>
              <w:ind w:firstLine="36" w:firstLineChars="13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 xml:space="preserve">计算机科学与工程学院 </w:t>
            </w:r>
            <w:r>
              <w:rPr>
                <w:sz w:val="28"/>
                <w:szCs w:val="28"/>
                <w:u w:val="single" w:color="333333"/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专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业：</w:t>
            </w:r>
          </w:p>
        </w:tc>
        <w:tc>
          <w:tcPr>
            <w:tcW w:w="2835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计算机科学与技术 </w:t>
            </w:r>
          </w:p>
        </w:tc>
        <w:tc>
          <w:tcPr>
            <w:tcW w:w="1095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班级：</w:t>
            </w:r>
          </w:p>
        </w:tc>
        <w:tc>
          <w:tcPr>
            <w:tcW w:w="1840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 w:color="333333"/>
              </w:rPr>
              <w:t>20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21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 xml:space="preserve">级 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2</w:t>
            </w:r>
            <w:r>
              <w:rPr>
                <w:sz w:val="28"/>
                <w:szCs w:val="28"/>
                <w:u w:val="single" w:color="333333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>班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姓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名：</w:t>
            </w:r>
          </w:p>
        </w:tc>
        <w:tc>
          <w:tcPr>
            <w:tcW w:w="2835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邓鹏超</w:t>
            </w:r>
            <w:r>
              <w:rPr>
                <w:sz w:val="28"/>
                <w:szCs w:val="28"/>
                <w:u w:val="single" w:color="333333"/>
              </w:rPr>
              <w:t xml:space="preserve">         </w:t>
            </w:r>
          </w:p>
        </w:tc>
        <w:tc>
          <w:tcPr>
            <w:tcW w:w="1095" w:type="dxa"/>
            <w:vAlign w:val="center"/>
          </w:tcPr>
          <w:p>
            <w:pPr>
              <w:spacing w:line="900" w:lineRule="exact"/>
              <w:jc w:val="right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学号：</w:t>
            </w:r>
          </w:p>
        </w:tc>
        <w:tc>
          <w:tcPr>
            <w:tcW w:w="1840" w:type="dxa"/>
            <w:vAlign w:val="bottom"/>
          </w:tcPr>
          <w:p>
            <w:pPr>
              <w:spacing w:line="900" w:lineRule="exact"/>
              <w:textAlignment w:val="baseline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 w:color="333333"/>
                <w:lang w:val="en-US" w:eastAsia="zh-CN"/>
              </w:rPr>
              <w:t>202111070202</w:t>
            </w:r>
            <w:r>
              <w:rPr>
                <w:rFonts w:hint="eastAsia"/>
                <w:sz w:val="28"/>
                <w:szCs w:val="28"/>
                <w:u w:val="single" w:color="333333"/>
              </w:rPr>
              <w:t xml:space="preserve"> </w:t>
            </w:r>
            <w:r>
              <w:rPr>
                <w:sz w:val="28"/>
                <w:szCs w:val="28"/>
                <w:u w:val="single" w:color="333333"/>
              </w:rPr>
              <w:t xml:space="preserve">           </w:t>
            </w:r>
          </w:p>
        </w:tc>
      </w:tr>
    </w:tbl>
    <w:p>
      <w:pPr>
        <w:textAlignment w:val="baseline"/>
        <w:rPr>
          <w:sz w:val="20"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b/>
          <w:i/>
          <w:caps/>
        </w:rPr>
      </w:pPr>
    </w:p>
    <w:p>
      <w:pPr>
        <w:textAlignment w:val="baseline"/>
        <w:rPr>
          <w:sz w:val="20"/>
        </w:rPr>
      </w:pPr>
    </w:p>
    <w:p>
      <w:pPr>
        <w:textAlignment w:val="baseline"/>
        <w:rPr>
          <w:b/>
          <w:i/>
          <w:caps/>
        </w:rPr>
      </w:pPr>
    </w:p>
    <w:p>
      <w:pPr>
        <w:spacing w:line="900" w:lineRule="exact"/>
        <w:jc w:val="center"/>
        <w:textAlignment w:val="baseline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  <w:lang w:val="en-US" w:eastAsia="zh-CN"/>
        </w:rPr>
        <w:t>9</w:t>
      </w:r>
      <w:r>
        <w:rPr>
          <w:rFonts w:hint="eastAsia"/>
          <w:b/>
          <w:bCs/>
          <w:sz w:val="36"/>
          <w:szCs w:val="36"/>
        </w:rPr>
        <w:t>日</w:t>
      </w:r>
    </w:p>
    <w:p>
      <w:pPr>
        <w:spacing w:line="900" w:lineRule="exact"/>
        <w:jc w:val="center"/>
        <w:textAlignment w:val="baseline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山东科技大学教务处制</w:t>
      </w:r>
    </w:p>
    <w:p/>
    <w:p/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5"/>
        <w:gridCol w:w="1289"/>
        <w:gridCol w:w="1336"/>
        <w:gridCol w:w="1566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3686" w:type="dxa"/>
            <w:gridSpan w:val="3"/>
            <w:vAlign w:val="center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交换机配置方式及基本命令的熟悉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</w:t>
            </w:r>
            <w:r>
              <w:rPr>
                <w:rFonts w:hint="eastAsia"/>
                <w:b/>
                <w:bCs/>
                <w:sz w:val="24"/>
                <w:szCs w:val="24"/>
              </w:rPr>
              <w:t>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通过对交换机设备的几种配置手段、配置模式和基本配置命令的认识，获得交换机的基本使用能力。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1、认识交换机的配置方式。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2、按照给出的参考拓扑图构建逻辑拓扑图。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3、按照给出的配置参数表配置各个设备。</w:t>
            </w:r>
          </w:p>
          <w:p>
            <w:pPr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4、练习交换机的一些基本命令。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实验设备</w:t>
            </w:r>
          </w:p>
          <w:p>
            <w:pPr>
              <w:ind w:firstLine="42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Catalyst2950，运行终端仿真程序的PC、</w:t>
            </w:r>
            <w:r>
              <w:t>Console</w:t>
            </w:r>
            <w:r>
              <w:rPr>
                <w:rFonts w:hint="eastAsia"/>
              </w:rPr>
              <w:t>扁平</w:t>
            </w:r>
            <w:r>
              <w:t>线</w:t>
            </w:r>
            <w:r>
              <w:rPr>
                <w:rFonts w:hint="eastAsia"/>
              </w:rPr>
              <w:t>缆</w:t>
            </w:r>
            <w:r>
              <w:t>和相应的DB-9或DB-25适配器</w:t>
            </w:r>
            <w:r>
              <w:rPr>
                <w:rFonts w:hint="eastAsia"/>
              </w:rPr>
              <w:t>，直通线。</w:t>
            </w:r>
          </w:p>
          <w:p>
            <w:pPr>
              <w:jc w:val="left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</w:t>
            </w:r>
            <w:r>
              <w:rPr>
                <w:rFonts w:hint="eastAsia"/>
                <w:b/>
                <w:bCs/>
                <w:sz w:val="24"/>
                <w:szCs w:val="24"/>
              </w:rPr>
              <w:t>实验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拓扑与参数设置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ind w:firstLine="420"/>
            </w:pP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ind w:firstLine="420"/>
            </w:pPr>
            <w:r>
              <w:rPr>
                <w:rFonts w:hint="eastAsia"/>
              </w:rPr>
              <w:drawing>
                <wp:inline distT="0" distB="0" distL="114300" distR="114300">
                  <wp:extent cx="3576320" cy="3927475"/>
                  <wp:effectExtent l="0" t="0" r="508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27130" t="32492" r="57843" b="45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6320" cy="392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</w:pPr>
            <w:r>
              <w:rPr>
                <w:rFonts w:hint="eastAsia"/>
              </w:rPr>
              <w:t>图2.1  参考拓扑图</w:t>
            </w:r>
          </w:p>
          <w:p>
            <w:pPr>
              <w:pStyle w:val="5"/>
              <w:numPr>
                <w:ilvl w:val="0"/>
                <w:numId w:val="0"/>
              </w:numPr>
              <w:spacing w:before="312" w:after="156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五．</w:t>
            </w:r>
            <w:r>
              <w:rPr>
                <w:rFonts w:hint="eastAsia"/>
              </w:rPr>
              <w:t>实验步骤</w:t>
            </w:r>
          </w:p>
          <w:p>
            <w:pPr>
              <w:ind w:firstLine="4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步骤1</w:t>
            </w:r>
            <w:r>
              <w:rPr>
                <w:rFonts w:hint="eastAsia"/>
              </w:rPr>
              <w:t>按照上述拓扑（在packet tracer 4.0中）将PC机与交换机连接好，双击PC机选择进入Desktop-&gt;terminal中,对交换机参数进行配置，进入命令行界面。使用show version命令来查看一下交换机的版本信息。</w:t>
            </w:r>
            <w:r>
              <w:rPr>
                <w:rFonts w:hint="eastAsia"/>
                <w:lang w:val="en-US" w:eastAsia="zh-CN"/>
              </w:rPr>
              <w:t>如下图</w:t>
            </w:r>
          </w:p>
          <w:p>
            <w:pPr>
              <w:ind w:firstLine="42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13630" cy="3044190"/>
                  <wp:effectExtent l="0" t="0" r="889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3630" cy="304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ind w:firstLine="42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步骤2</w:t>
            </w:r>
            <w:r>
              <w:t>进入特权命令状态enable</w:t>
            </w:r>
            <w:r>
              <w:rPr>
                <w:rFonts w:hint="eastAsia"/>
              </w:rPr>
              <w:t>；使用show history查看前面所输入的命令（不管是错误的还是正确的）；使用show  interface 端口号 来查看端口信息；使用</w:t>
            </w:r>
            <w:r>
              <w:t>disable退出特权命令状态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如下图</w:t>
            </w:r>
          </w:p>
          <w:p>
            <w:pPr>
              <w:ind w:firstLine="42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31030" cy="3488055"/>
                  <wp:effectExtent l="0" t="0" r="381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030" cy="348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步骤3</w:t>
            </w:r>
            <w:r>
              <w:rPr>
                <w:rFonts w:hint="eastAsia"/>
              </w:rPr>
              <w:t>从特权模式</w:t>
            </w:r>
            <w:r>
              <w:t>进入全局设置状态config</w:t>
            </w:r>
            <w:r>
              <w:rPr>
                <w:rFonts w:hint="eastAsia"/>
              </w:rPr>
              <w:t>ure</w:t>
            </w:r>
            <w:r>
              <w:t xml:space="preserve"> terminal</w:t>
            </w:r>
            <w:r>
              <w:rPr>
                <w:rFonts w:hint="eastAsia"/>
              </w:rPr>
              <w:t>，将交换机的名字改为SWI，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4727575" cy="999490"/>
                  <wp:effectExtent l="0" t="0" r="1206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 w:firstLineChars="200"/>
              <w:jc w:val="left"/>
            </w:pPr>
            <w:r>
              <w:rPr>
                <w:rFonts w:hint="eastAsia"/>
                <w:b/>
                <w:bCs/>
              </w:rPr>
              <w:t>步骤4</w:t>
            </w:r>
            <w:r>
              <w:t>设置进入特权状态的密</w:t>
            </w:r>
            <w:r>
              <w:rPr>
                <w:rFonts w:hint="eastAsia"/>
              </w:rPr>
              <w:t>码</w:t>
            </w:r>
            <w:r>
              <w:t>(secret)，此密文在设置以后不会以明文方式显示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4869180" cy="56388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  <w:p>
            <w:pPr>
              <w:ind w:firstLine="422"/>
              <w:rPr>
                <w:rFonts w:hint="eastAsia"/>
                <w:b/>
                <w:bCs/>
              </w:rPr>
            </w:pP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步骤5 </w:t>
            </w:r>
            <w:r>
              <w:rPr>
                <w:rFonts w:hint="eastAsia"/>
              </w:rPr>
              <w:t>从全局配置模式进入Fas0/1端口配置模式，对端口进行配置: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t>duplex full</w:t>
            </w:r>
            <w:r>
              <w:rPr>
                <w:rFonts w:hint="eastAsia"/>
              </w:rPr>
              <w:t>命令将端口设置为全双工模式，使用</w:t>
            </w:r>
            <w:r>
              <w:t>speed 100</w:t>
            </w:r>
            <w:r>
              <w:rPr>
                <w:rFonts w:hint="eastAsia"/>
              </w:rPr>
              <w:t>将其速率设为100bps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t>no shutdown</w:t>
            </w:r>
            <w:r>
              <w:rPr>
                <w:rFonts w:hint="eastAsia"/>
              </w:rPr>
              <w:t>将端口状态设置为开。</w:t>
            </w:r>
          </w:p>
          <w:p>
            <w:pPr>
              <w:ind w:firstLine="422"/>
            </w:pPr>
          </w:p>
          <w:p>
            <w:pPr>
              <w:ind w:firstLine="422"/>
            </w:pPr>
            <w:r>
              <w:drawing>
                <wp:inline distT="0" distB="0" distL="114300" distR="114300">
                  <wp:extent cx="4914900" cy="1775460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/>
            </w:pPr>
          </w:p>
          <w:p>
            <w:pPr>
              <w:ind w:firstLine="422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步骤6 </w:t>
            </w:r>
            <w:r>
              <w:rPr>
                <w:rFonts w:hint="eastAsia"/>
              </w:rPr>
              <w:t>使用copy running-config startup-config将配置从running-config保存到startup-config中，并使用show running-config，show startup-config查看其中的内容是否一致.</w:t>
            </w:r>
          </w:p>
          <w:p>
            <w:pPr>
              <w:ind w:firstLine="422"/>
              <w:rPr>
                <w:rFonts w:hint="eastAsia"/>
              </w:rPr>
            </w:pPr>
            <w:r>
              <w:drawing>
                <wp:inline distT="0" distB="0" distL="114300" distR="114300">
                  <wp:extent cx="4780280" cy="2225040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28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2"/>
              </w:numPr>
              <w:spacing w:before="312" w:after="156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思考题</w:t>
            </w:r>
          </w:p>
          <w:p>
            <w:pPr>
              <w:numPr>
                <w:ilvl w:val="0"/>
                <w:numId w:val="3"/>
              </w:num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交换机和路由器上的功能和命令集是一样的吗？</w:t>
            </w:r>
          </w:p>
          <w:p>
            <w:pPr>
              <w:pStyle w:val="5"/>
              <w:spacing w:before="312" w:after="156"/>
              <w:ind w:firstLine="422" w:firstLineChars="20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命令集一样，但是交换机和路由器的功能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不一样</w:t>
            </w:r>
            <w:r>
              <w:rPr>
                <w:rFonts w:hint="eastAsia"/>
                <w:sz w:val="21"/>
                <w:szCs w:val="21"/>
              </w:rPr>
              <w:t>。</w:t>
            </w:r>
            <w:r>
              <w:rPr>
                <w:rFonts w:hint="eastAsia" w:ascii="黑体" w:hAnsi="黑体" w:eastAsia="黑体" w:cs="黑体"/>
                <w:b/>
                <w:bCs w:val="0"/>
                <w:i w:val="0"/>
                <w:iCs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二层交换机能够读取数据包中的MAC地址信息并根据MAC地址来进行交换。 路由器决定最优路由和转发数据包。</w:t>
            </w:r>
            <w:r>
              <w:rPr>
                <w:rFonts w:hint="eastAsia"/>
                <w:sz w:val="21"/>
                <w:szCs w:val="21"/>
              </w:rPr>
              <w:t>路由器的工作在网络层，根据IP地址转发数据，可以处理TCP/IP数据，选择路由，用于连接内网和外网；交换机的工作在数据链路层，根据MAC地址转发数据帧，所连接的终端同属于一个网段。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2、远程配置交换机的硬软件条件是什么？</w:t>
            </w:r>
          </w:p>
          <w:p>
            <w:pPr>
              <w:ind w:firstLine="843" w:firstLineChars="400"/>
              <w:rPr>
                <w:rFonts w:hint="eastAsia" w:eastAsia="宋体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 w:val="0"/>
                <w:sz w:val="21"/>
                <w:szCs w:val="21"/>
              </w:rPr>
              <w:t>启用远程服务端口</w:t>
            </w:r>
            <w:r>
              <w:rPr>
                <w:rFonts w:hint="eastAsia"/>
                <w:b/>
                <w:bCs w:val="0"/>
                <w:sz w:val="21"/>
                <w:szCs w:val="21"/>
                <w:lang w:val="en-US" w:eastAsia="zh-CN"/>
              </w:rPr>
              <w:t>并且</w:t>
            </w:r>
            <w:r>
              <w:rPr>
                <w:rFonts w:hint="eastAsia"/>
                <w:b/>
                <w:bCs w:val="0"/>
                <w:sz w:val="21"/>
                <w:szCs w:val="21"/>
              </w:rPr>
              <w:t>将内网的IP映射到公网</w:t>
            </w:r>
            <w:r>
              <w:rPr>
                <w:rFonts w:hint="eastAsia"/>
                <w:b/>
                <w:bCs w:val="0"/>
                <w:sz w:val="21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Encapsulation HAPA 是何意？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>用HAPA封装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4、给出指定交换机的硬软件信息。</w:t>
            </w:r>
          </w:p>
          <w:p>
            <w:pPr>
              <w:ind w:firstLine="420"/>
            </w:pPr>
          </w:p>
          <w:p>
            <w:pPr>
              <w:pStyle w:val="7"/>
              <w:rPr>
                <w:rFonts w:hint="eastAsia"/>
              </w:rPr>
            </w:pPr>
            <w:r>
              <w:drawing>
                <wp:inline distT="0" distB="0" distL="0" distR="0">
                  <wp:extent cx="5274310" cy="3113405"/>
                  <wp:effectExtent l="0" t="0" r="13970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心得体会</w:t>
            </w:r>
          </w:p>
          <w:p>
            <w:pPr>
              <w:pStyle w:val="7"/>
              <w:numPr>
                <w:ilvl w:val="0"/>
                <w:numId w:val="0"/>
              </w:numPr>
              <w:ind w:leftChars="0"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认识了交换机的配置方式，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通过对交换机设备的几种配置手段、配置模式和基本配置命令的认识，获得</w:t>
            </w:r>
            <w:r>
              <w:rPr>
                <w:rFonts w:hint="eastAsia"/>
                <w:b w:val="0"/>
                <w:bCs/>
                <w:sz w:val="21"/>
                <w:szCs w:val="21"/>
                <w:lang w:eastAsia="zh-CN"/>
              </w:rPr>
              <w:t>了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1"/>
                <w:szCs w:val="21"/>
              </w:rPr>
              <w:t>交换机的基本使用能力。</w:t>
            </w:r>
            <w:r>
              <w:rPr>
                <w:rFonts w:hint="eastAsia"/>
              </w:rPr>
              <w:t xml:space="preserve"> </w: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7E000"/>
    <w:multiLevelType w:val="singleLevel"/>
    <w:tmpl w:val="FC57E00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407FA6B"/>
    <w:multiLevelType w:val="singleLevel"/>
    <w:tmpl w:val="5407FA6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11CE9BC"/>
    <w:multiLevelType w:val="singleLevel"/>
    <w:tmpl w:val="611CE9BC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1C31DAB"/>
    <w:rsid w:val="2473321B"/>
    <w:rsid w:val="35676544"/>
    <w:rsid w:val="3DED4B59"/>
    <w:rsid w:val="4A5227EE"/>
    <w:rsid w:val="669263B9"/>
    <w:rsid w:val="6D5651E3"/>
    <w:rsid w:val="6FA8603C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6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7">
    <w:name w:val="实验名称"/>
    <w:basedOn w:val="1"/>
    <w:qFormat/>
    <w:uiPriority w:val="0"/>
    <w:pPr>
      <w:spacing w:line="480" w:lineRule="auto"/>
      <w:ind w:firstLine="643"/>
      <w:jc w:val="center"/>
    </w:pPr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952</Words>
  <Characters>1242</Characters>
  <Lines>0</Lines>
  <Paragraphs>0</Paragraphs>
  <TotalTime>0</TotalTime>
  <ScaleCrop>false</ScaleCrop>
  <LinksUpToDate>false</LinksUpToDate>
  <CharactersWithSpaces>1402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2022-10-03T03:11:16Z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80A5A3EDC2A9457CA28BC84D5A4AC737</vt:lpwstr>
  </property>
</Properties>
</file>