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Ниже —</w:t>
      </w:r>
      <w:r>
        <w:t xml:space="preserve"> </w:t>
      </w:r>
      <w:r>
        <w:rPr>
          <w:b/>
          <w:bCs/>
        </w:rPr>
        <w:t xml:space="preserve">board memo для инвесторов / совета</w:t>
      </w:r>
      <w:r>
        <w:t xml:space="preserve">, собранный из двух исследований и уже сжатый до управленческого формата.</w:t>
      </w:r>
    </w:p>
    <w:p>
      <w:r>
        <w:pict>
          <v:rect style="width:0;height:1.5pt" o:hralign="center" o:hrstd="t" o:hr="t"/>
        </w:pict>
      </w:r>
    </w:p>
    <w:bookmarkStart w:id="58" w:name="board-memo"/>
    <w:p>
      <w:pPr>
        <w:pStyle w:val="Heading1"/>
      </w:pPr>
      <w:r>
        <w:t xml:space="preserve">BOARD MEMO</w:t>
      </w:r>
    </w:p>
    <w:bookmarkStart w:id="21" w:name="X21700dfc85b6a742ce71eda676c5c13363c6089"/>
    <w:p>
      <w:pPr>
        <w:pStyle w:val="Heading2"/>
      </w:pPr>
      <w:r>
        <w:t xml:space="preserve">RAI — institutional crop operating layer для рынка растениеводства России</w:t>
      </w:r>
    </w:p>
    <w:bookmarkStart w:id="20" w:name="статус-документа"/>
    <w:p>
      <w:pPr>
        <w:pStyle w:val="Heading3"/>
      </w:pPr>
      <w:r>
        <w:t xml:space="preserve">Статус документа</w:t>
      </w:r>
    </w:p>
    <w:p>
      <w:pPr>
        <w:pStyle w:val="FirstParagraph"/>
      </w:pPr>
      <w:r>
        <w:t xml:space="preserve">Внутренний стратегический memo для фиксации:</w:t>
      </w:r>
    </w:p>
    <w:p>
      <w:pPr>
        <w:pStyle w:val="Compact"/>
        <w:numPr>
          <w:ilvl w:val="0"/>
          <w:numId w:val="1001"/>
        </w:numPr>
      </w:pPr>
      <w:r>
        <w:t xml:space="preserve">инвестиционного тезиса,</w:t>
      </w:r>
    </w:p>
    <w:p>
      <w:pPr>
        <w:pStyle w:val="Compact"/>
        <w:numPr>
          <w:ilvl w:val="0"/>
          <w:numId w:val="1001"/>
        </w:numPr>
      </w:pPr>
      <w:r>
        <w:t xml:space="preserve">moat,</w:t>
      </w:r>
    </w:p>
    <w:p>
      <w:pPr>
        <w:pStyle w:val="Compact"/>
        <w:numPr>
          <w:ilvl w:val="0"/>
          <w:numId w:val="1001"/>
        </w:numPr>
      </w:pPr>
      <w:r>
        <w:t xml:space="preserve">логики захвата рынка,</w:t>
      </w:r>
    </w:p>
    <w:p>
      <w:pPr>
        <w:pStyle w:val="Compact"/>
        <w:numPr>
          <w:ilvl w:val="0"/>
          <w:numId w:val="1001"/>
        </w:numPr>
      </w:pPr>
      <w:r>
        <w:t xml:space="preserve">карты угроз и приоритетов исполнения.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суть-тезиса"/>
    <w:p>
      <w:pPr>
        <w:pStyle w:val="Heading2"/>
      </w:pPr>
      <w:r>
        <w:t xml:space="preserve">1. Суть тезиса</w:t>
      </w:r>
    </w:p>
    <w:p>
      <w:pPr>
        <w:pStyle w:val="FirstParagraph"/>
      </w:pPr>
      <w:r>
        <w:rPr>
          <w:b/>
          <w:bCs/>
        </w:rPr>
        <w:t xml:space="preserve">RAI строит не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ещё один AgTech-сервис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и не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агроконсалтинг</w:t>
      </w:r>
      <w:r>
        <w:rPr>
          <w:b/>
          <w:bCs/>
        </w:rPr>
        <w:t xml:space="preserve">”</w:t>
      </w:r>
      <w:r>
        <w:rPr>
          <w:b/>
          <w:bCs/>
        </w:rPr>
        <w:t xml:space="preserve">.</w:t>
      </w:r>
      <w:r>
        <w:t xml:space="preserve"> </w:t>
      </w:r>
      <w:r>
        <w:t xml:space="preserve">RAI строит</w:t>
      </w:r>
      <w:r>
        <w:t xml:space="preserve"> </w:t>
      </w:r>
      <w:r>
        <w:rPr>
          <w:b/>
          <w:bCs/>
        </w:rPr>
        <w:t xml:space="preserve">институциональный слой управления урожаем</w:t>
      </w:r>
      <w:r>
        <w:t xml:space="preserve">, где TechMap выступает одновременно:</w:t>
      </w:r>
    </w:p>
    <w:p>
      <w:pPr>
        <w:pStyle w:val="Compact"/>
        <w:numPr>
          <w:ilvl w:val="0"/>
          <w:numId w:val="1002"/>
        </w:numPr>
      </w:pPr>
      <w:r>
        <w:t xml:space="preserve">проектом урожая,</w:t>
      </w:r>
    </w:p>
    <w:p>
      <w:pPr>
        <w:pStyle w:val="Compact"/>
        <w:numPr>
          <w:ilvl w:val="0"/>
          <w:numId w:val="1002"/>
        </w:numPr>
      </w:pPr>
      <w:r>
        <w:t xml:space="preserve">операционной моделью сезона,</w:t>
      </w:r>
    </w:p>
    <w:p>
      <w:pPr>
        <w:pStyle w:val="Compact"/>
        <w:numPr>
          <w:ilvl w:val="0"/>
          <w:numId w:val="1002"/>
        </w:numPr>
      </w:pPr>
      <w:r>
        <w:t xml:space="preserve">финансовой моделью,</w:t>
      </w:r>
    </w:p>
    <w:p>
      <w:pPr>
        <w:pStyle w:val="Compact"/>
        <w:numPr>
          <w:ilvl w:val="0"/>
          <w:numId w:val="1002"/>
        </w:numPr>
      </w:pPr>
      <w:r>
        <w:t xml:space="preserve">цифровым контрактом,</w:t>
      </w:r>
    </w:p>
    <w:p>
      <w:pPr>
        <w:pStyle w:val="Compact"/>
        <w:numPr>
          <w:ilvl w:val="0"/>
          <w:numId w:val="1002"/>
        </w:numPr>
      </w:pPr>
      <w:r>
        <w:t xml:space="preserve">юридически значимым объектом управления.</w:t>
      </w:r>
    </w:p>
    <w:p>
      <w:pPr>
        <w:pStyle w:val="FirstParagraph"/>
      </w:pPr>
      <w:r>
        <w:t xml:space="preserve">В обоих исследованиях конкурентное поле для RAI трактуется широко: конкурентом является любой игрок, который влияет на выбор агротехнологии, факт исполнения, экономику результата и может масштабировать свою модель на множество хозяйств. В этой логике RAI — не point solution, а попытка занять верхний слой над агрономией, данными, финансированием и исполнением.</w:t>
      </w:r>
    </w:p>
    <w:p>
      <w:pPr>
        <w:pStyle w:val="BodyText"/>
      </w:pPr>
      <w:r>
        <w:rPr>
          <w:b/>
          <w:bCs/>
        </w:rPr>
        <w:t xml:space="preserve">Инвестиционный вывод:</w:t>
      </w:r>
      <w:r>
        <w:t xml:space="preserve"> </w:t>
      </w:r>
      <w:r>
        <w:t xml:space="preserve">RAI претендует на создание новой категории на российском агрорынке —</w:t>
      </w:r>
      <w:r>
        <w:t xml:space="preserve"> </w:t>
      </w:r>
      <w:r>
        <w:rPr>
          <w:b/>
          <w:bCs/>
        </w:rPr>
        <w:t xml:space="preserve">оператора урожая и прибыли</w:t>
      </w:r>
      <w:r>
        <w:t xml:space="preserve">, а не поставщика функции.</w:t>
      </w:r>
    </w:p>
    <w:p>
      <w:r>
        <w:pict>
          <v:rect style="width:0;height:1.5pt" o:hralign="center" o:hrstd="t" o:hr="t"/>
        </w:pict>
      </w:r>
    </w:p>
    <w:bookmarkEnd w:id="22"/>
    <w:bookmarkStart w:id="24" w:name="почему-рынок-готов-к-такой-модели-сейчас"/>
    <w:p>
      <w:pPr>
        <w:pStyle w:val="Heading2"/>
      </w:pPr>
      <w:r>
        <w:t xml:space="preserve">2. Почему рынок готов к такой модели сейчас</w:t>
      </w:r>
    </w:p>
    <w:p>
      <w:pPr>
        <w:pStyle w:val="FirstParagraph"/>
      </w:pPr>
      <w:r>
        <w:t xml:space="preserve">Исследования сходятся в одном: в рынке есть системный провал, который не закрывают ни консалтинг, ни ERP, ни AgTech-платформы.</w:t>
      </w:r>
    </w:p>
    <w:bookmarkStart w:id="23" w:name="системные-провалы-рынка"/>
    <w:p>
      <w:pPr>
        <w:pStyle w:val="Heading3"/>
      </w:pPr>
      <w:r>
        <w:t xml:space="preserve">Системные провалы рынка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Конфликт интересов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поставщик = консультант</w:t>
      </w:r>
      <w:r>
        <w:rPr>
          <w:b/>
          <w:bCs/>
        </w:rPr>
        <w:t xml:space="preserve">”</w:t>
      </w:r>
      <w:r>
        <w:rPr>
          <w:b/>
          <w:bCs/>
        </w:rPr>
        <w:t xml:space="preserve">.</w:t>
      </w:r>
      <w:r>
        <w:t xml:space="preserve"> </w:t>
      </w:r>
      <w:r>
        <w:t xml:space="preserve">Значительная часть агрономических решений задаётся продавцами СЗР, удобрений и семян. Это создаёт встроенный bias: оптимизируется не прибыль хозяйства, а продажа продуктовой корзины.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Отсутствие контроля исполнения как нормы.</w:t>
      </w:r>
      <w:r>
        <w:t xml:space="preserve"> </w:t>
      </w:r>
      <w:r>
        <w:t xml:space="preserve">На рынке много рекомендаций и много цифрового учёта, но мало игроков, которые превращают технологию в контролируемую дисциплину исполнения с протоколом отклонений и управленческой ответственностью.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Разрыв между технологией и экономикой.</w:t>
      </w:r>
      <w:r>
        <w:t xml:space="preserve"> </w:t>
      </w:r>
      <w:r>
        <w:t xml:space="preserve">Агрономия, P&amp;L сезона, риск-профиль и контрактная логика редко сведены в одну модель принятия решения.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Фрагментация данных и рост комплаенса.</w:t>
      </w:r>
      <w:r>
        <w:t xml:space="preserve"> </w:t>
      </w:r>
      <w:r>
        <w:t xml:space="preserve">Хозяйства одновременно живут в ФГИС, учётных системах, телематике, агроплатформах и Excel. Это увеличивает стоимость интеграции и подталкивает рынок к спросу на единый слой смысла и управления.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Низкая институциональная зрелость самого рынка консультирования.</w:t>
      </w:r>
      <w:r>
        <w:t xml:space="preserve"> </w:t>
      </w:r>
      <w:r>
        <w:t xml:space="preserve">В одном из исследований прямо фиксируется низкая прозрачность и слабая институциональная структурированность агроконсалтинга как рынка, что подтверждает пустоту ниши для нового формата оператора.</w: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RAI возникает не потому, что на рынке</w:t>
      </w:r>
      <w:r>
        <w:t xml:space="preserve"> </w:t>
      </w:r>
      <w:r>
        <w:t xml:space="preserve">“</w:t>
      </w:r>
      <w:r>
        <w:t xml:space="preserve">мало софта</w:t>
      </w:r>
      <w:r>
        <w:t xml:space="preserve">”</w:t>
      </w:r>
      <w:r>
        <w:t xml:space="preserve">, а потому, что на рынке</w:t>
      </w:r>
      <w:r>
        <w:t xml:space="preserve"> </w:t>
      </w:r>
      <w:r>
        <w:rPr>
          <w:b/>
          <w:bCs/>
        </w:rPr>
        <w:t xml:space="preserve">нет доверенного оператора сезона</w:t>
      </w:r>
      <w:r>
        <w:t xml:space="preserve">, который соединяет технологию, исполнение, деньги и юридическую архитектуру.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что-именно-продаёт-rai"/>
    <w:p>
      <w:pPr>
        <w:pStyle w:val="Heading2"/>
      </w:pPr>
      <w:r>
        <w:t xml:space="preserve">3. Что именно продаёт RAI</w:t>
      </w:r>
    </w:p>
    <w:p>
      <w:pPr>
        <w:pStyle w:val="FirstParagraph"/>
      </w:pPr>
      <w:r>
        <w:t xml:space="preserve">Ключевой тезис позиционирования в исследованиях сформулирован жёстко:</w:t>
      </w:r>
      <w:r>
        <w:t xml:space="preserve"> </w:t>
      </w:r>
      <w:r>
        <w:t xml:space="preserve">RAI должен продавать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оператора урожая и прибыли: TechMap-контракт + цифровое управление сезоном + контроль исполнения + участие в результате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BodyText"/>
      </w:pPr>
      <w:r>
        <w:t xml:space="preserve">Это означает, что ядро продукта состоит из четырёх слоёв:</w:t>
      </w:r>
    </w:p>
    <w:bookmarkStart w:id="25" w:name="techmap-как-контракт"/>
    <w:p>
      <w:pPr>
        <w:pStyle w:val="Heading3"/>
      </w:pPr>
      <w:r>
        <w:t xml:space="preserve">1. TechMap как контракт</w:t>
      </w:r>
    </w:p>
    <w:p>
      <w:pPr>
        <w:pStyle w:val="FirstParagraph"/>
      </w:pPr>
      <w:r>
        <w:t xml:space="preserve">Не таблица операций, а формализованная модель:</w:t>
      </w:r>
    </w:p>
    <w:p>
      <w:pPr>
        <w:pStyle w:val="Compact"/>
        <w:numPr>
          <w:ilvl w:val="0"/>
          <w:numId w:val="1004"/>
        </w:numPr>
      </w:pPr>
      <w:r>
        <w:t xml:space="preserve">цели по урожаю,</w:t>
      </w:r>
    </w:p>
    <w:p>
      <w:pPr>
        <w:pStyle w:val="Compact"/>
        <w:numPr>
          <w:ilvl w:val="0"/>
          <w:numId w:val="1004"/>
        </w:numPr>
      </w:pPr>
      <w:r>
        <w:t xml:space="preserve">бюджета,</w:t>
      </w:r>
    </w:p>
    <w:p>
      <w:pPr>
        <w:pStyle w:val="Compact"/>
        <w:numPr>
          <w:ilvl w:val="0"/>
          <w:numId w:val="1004"/>
        </w:numPr>
      </w:pPr>
      <w:r>
        <w:t xml:space="preserve">регламентов,</w:t>
      </w:r>
    </w:p>
    <w:p>
      <w:pPr>
        <w:pStyle w:val="Compact"/>
        <w:numPr>
          <w:ilvl w:val="0"/>
          <w:numId w:val="1004"/>
        </w:numPr>
      </w:pPr>
      <w:r>
        <w:t xml:space="preserve">KPI исполнения,</w:t>
      </w:r>
    </w:p>
    <w:p>
      <w:pPr>
        <w:pStyle w:val="Compact"/>
        <w:numPr>
          <w:ilvl w:val="0"/>
          <w:numId w:val="1004"/>
        </w:numPr>
      </w:pPr>
      <w:r>
        <w:t xml:space="preserve">критериев отклонений,</w:t>
      </w:r>
    </w:p>
    <w:p>
      <w:pPr>
        <w:pStyle w:val="Compact"/>
        <w:numPr>
          <w:ilvl w:val="0"/>
          <w:numId w:val="1004"/>
        </w:numPr>
      </w:pPr>
      <w:r>
        <w:t xml:space="preserve">ролей и обязанностей сторон.</w:t>
      </w:r>
    </w:p>
    <w:bookmarkEnd w:id="25"/>
    <w:bookmarkStart w:id="26" w:name="контроль-исполнения-как-продукт"/>
    <w:p>
      <w:pPr>
        <w:pStyle w:val="Heading3"/>
      </w:pPr>
      <w:r>
        <w:t xml:space="preserve">2. Контроль исполнения как продукт</w:t>
      </w:r>
    </w:p>
    <w:p>
      <w:pPr>
        <w:pStyle w:val="FirstParagraph"/>
      </w:pPr>
      <w:r>
        <w:t xml:space="preserve">Не</w:t>
      </w:r>
      <w:r>
        <w:t xml:space="preserve"> </w:t>
      </w:r>
      <w:r>
        <w:t xml:space="preserve">“</w:t>
      </w:r>
      <w:r>
        <w:t xml:space="preserve">совет</w:t>
      </w:r>
      <w:r>
        <w:t xml:space="preserve">”</w:t>
      </w:r>
      <w:r>
        <w:t xml:space="preserve">, а:</w:t>
      </w:r>
    </w:p>
    <w:p>
      <w:pPr>
        <w:pStyle w:val="Compact"/>
        <w:numPr>
          <w:ilvl w:val="0"/>
          <w:numId w:val="1005"/>
        </w:numPr>
      </w:pPr>
      <w:r>
        <w:t xml:space="preserve">триггеры,</w:t>
      </w:r>
    </w:p>
    <w:p>
      <w:pPr>
        <w:pStyle w:val="Compact"/>
        <w:numPr>
          <w:ilvl w:val="0"/>
          <w:numId w:val="1005"/>
        </w:numPr>
      </w:pPr>
      <w:r>
        <w:t xml:space="preserve">контроль сроков и норм,</w:t>
      </w:r>
    </w:p>
    <w:p>
      <w:pPr>
        <w:pStyle w:val="Compact"/>
        <w:numPr>
          <w:ilvl w:val="0"/>
          <w:numId w:val="1005"/>
        </w:numPr>
      </w:pPr>
      <w:r>
        <w:t xml:space="preserve">протокол отклонений,</w:t>
      </w:r>
    </w:p>
    <w:p>
      <w:pPr>
        <w:pStyle w:val="Compact"/>
        <w:numPr>
          <w:ilvl w:val="0"/>
          <w:numId w:val="1005"/>
        </w:numPr>
      </w:pPr>
      <w:r>
        <w:t xml:space="preserve">операционный штаб сезона.</w:t>
      </w:r>
    </w:p>
    <w:bookmarkEnd w:id="26"/>
    <w:bookmarkStart w:id="27" w:name="оплата-от-результата"/>
    <w:p>
      <w:pPr>
        <w:pStyle w:val="Heading3"/>
      </w:pPr>
      <w:r>
        <w:t xml:space="preserve">3. Оплата от результата</w:t>
      </w:r>
    </w:p>
    <w:p>
      <w:pPr>
        <w:pStyle w:val="FirstParagraph"/>
      </w:pPr>
      <w:r>
        <w:t xml:space="preserve">Исследование подчёркивает, что модель с оплатой от результата снижает барьер</w:t>
      </w:r>
      <w:r>
        <w:t xml:space="preserve"> </w:t>
      </w:r>
      <w:r>
        <w:t xml:space="preserve">“</w:t>
      </w:r>
      <w:r>
        <w:t xml:space="preserve">зачем заранее платить за консалтинг</w:t>
      </w:r>
      <w:r>
        <w:t xml:space="preserve">”</w:t>
      </w:r>
      <w:r>
        <w:t xml:space="preserve">, выравнивает стимулы и повышает LTV/конверсию.</w:t>
      </w:r>
    </w:p>
    <w:bookmarkEnd w:id="27"/>
    <w:bookmarkStart w:id="28" w:name="агро-нейтральность"/>
    <w:p>
      <w:pPr>
        <w:pStyle w:val="Heading3"/>
      </w:pPr>
      <w:r>
        <w:t xml:space="preserve">4. Агро-нейтральность</w:t>
      </w:r>
    </w:p>
    <w:p>
      <w:pPr>
        <w:pStyle w:val="FirstParagraph"/>
      </w:pPr>
      <w:r>
        <w:t xml:space="preserve">Отдельный источник указывает, что одна из важнейших точек отличия RAI —</w:t>
      </w:r>
      <w:r>
        <w:t xml:space="preserve"> </w:t>
      </w:r>
      <w:r>
        <w:rPr>
          <w:b/>
          <w:bCs/>
        </w:rPr>
        <w:t xml:space="preserve">нейтрализация конфликта интересов поставщиков</w:t>
      </w:r>
      <w:r>
        <w:t xml:space="preserve"> </w:t>
      </w:r>
      <w:r>
        <w:t xml:space="preserve">через мультивендорную и прозрачную логику выбора входов внутри TechMap.</w:t>
      </w:r>
    </w:p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RAI продаёт не функциональность.</w:t>
      </w:r>
      <w:r>
        <w:t xml:space="preserve"> </w:t>
      </w:r>
      <w:r>
        <w:t xml:space="preserve">RAI продаёт</w:t>
      </w:r>
      <w:r>
        <w:t xml:space="preserve"> </w:t>
      </w:r>
      <w:r>
        <w:rPr>
          <w:b/>
          <w:bCs/>
        </w:rPr>
        <w:t xml:space="preserve">управляемый и доказуемый результат сезона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b73b88723e8d986cf233a4a45cbad02946b96e2"/>
    <w:p>
      <w:pPr>
        <w:pStyle w:val="Heading2"/>
      </w:pPr>
      <w:r>
        <w:t xml:space="preserve">4. Почему это может стать moat, а не просто красивой упаковкой</w:t>
      </w:r>
    </w:p>
    <w:p>
      <w:pPr>
        <w:pStyle w:val="FirstParagraph"/>
      </w:pPr>
      <w:r>
        <w:t xml:space="preserve">Moat RAI не в</w:t>
      </w:r>
      <w:r>
        <w:t xml:space="preserve"> </w:t>
      </w:r>
      <w:r>
        <w:t xml:space="preserve">“</w:t>
      </w:r>
      <w:r>
        <w:t xml:space="preserve">большем числе фич</w:t>
      </w:r>
      <w:r>
        <w:t xml:space="preserve">”</w:t>
      </w:r>
      <w:r>
        <w:t xml:space="preserve">, а в архитектуре позиции.</w:t>
      </w:r>
    </w:p>
    <w:bookmarkStart w:id="30" w:name="X7bb7d2d0056edaa61f8e94279468eadeb453e8e"/>
    <w:p>
      <w:pPr>
        <w:pStyle w:val="Heading3"/>
      </w:pPr>
      <w:r>
        <w:t xml:space="preserve">Структурный moat №1 — TechMap как институциональный стандарт</w:t>
      </w:r>
    </w:p>
    <w:p>
      <w:pPr>
        <w:pStyle w:val="FirstParagraph"/>
      </w:pPr>
      <w:r>
        <w:t xml:space="preserve">Если TechMap станет:</w:t>
      </w:r>
    </w:p>
    <w:p>
      <w:pPr>
        <w:pStyle w:val="Compact"/>
        <w:numPr>
          <w:ilvl w:val="0"/>
          <w:numId w:val="1006"/>
        </w:numPr>
      </w:pPr>
      <w:r>
        <w:t xml:space="preserve">внутренним стандартом управления хозяйства,</w:t>
      </w:r>
    </w:p>
    <w:p>
      <w:pPr>
        <w:pStyle w:val="Compact"/>
        <w:numPr>
          <w:ilvl w:val="0"/>
          <w:numId w:val="1006"/>
        </w:numPr>
      </w:pPr>
      <w:r>
        <w:t xml:space="preserve">понятным документом для банка,</w:t>
      </w:r>
    </w:p>
    <w:p>
      <w:pPr>
        <w:pStyle w:val="Compact"/>
        <w:numPr>
          <w:ilvl w:val="0"/>
          <w:numId w:val="1006"/>
        </w:numPr>
      </w:pPr>
      <w:r>
        <w:t xml:space="preserve">доказательной базой для страховой,</w:t>
      </w:r>
    </w:p>
    <w:p>
      <w:pPr>
        <w:pStyle w:val="Compact"/>
        <w:numPr>
          <w:ilvl w:val="0"/>
          <w:numId w:val="1006"/>
        </w:numPr>
      </w:pPr>
      <w:r>
        <w:t xml:space="preserve">рамкой исполнения для поставщика и трейдера,</w:t>
      </w:r>
    </w:p>
    <w:p>
      <w:pPr>
        <w:pStyle w:val="FirstParagraph"/>
      </w:pPr>
      <w:r>
        <w:t xml:space="preserve">то RAI перестаёт быть vendor’ом и становится</w:t>
      </w:r>
      <w:r>
        <w:t xml:space="preserve"> </w:t>
      </w:r>
      <w:r>
        <w:rPr>
          <w:b/>
          <w:bCs/>
        </w:rPr>
        <w:t xml:space="preserve">системным узлом доверия</w:t>
      </w:r>
      <w:r>
        <w:t xml:space="preserve">.</w:t>
      </w:r>
      <w:r>
        <w:t xml:space="preserve"> </w:t>
      </w:r>
      <w:r>
        <w:t xml:space="preserve">Это уже не SaaS-заменитель, а инфраструктурная роль. Исследования прямо указывают на окно для такого</w:t>
      </w:r>
      <w:r>
        <w:t xml:space="preserve"> </w:t>
      </w:r>
      <w:r>
        <w:t xml:space="preserve">“</w:t>
      </w:r>
      <w:r>
        <w:t xml:space="preserve">оператора урожая</w:t>
      </w:r>
      <w:r>
        <w:t xml:space="preserve">”</w:t>
      </w:r>
      <w:r>
        <w:t xml:space="preserve"> </w:t>
      </w:r>
      <w:r>
        <w:t xml:space="preserve">и на отсутствие игроков, которые берут на себя институциональную ответственность за дизайн техкарты как проекта урожая и юридически значимого контракта между хозяйством и стейкхолдерами.</w:t>
      </w:r>
    </w:p>
    <w:bookmarkEnd w:id="30"/>
    <w:bookmarkStart w:id="31" w:name="Xaf73da8be7173f2279efdd52e76d75bfc90bf85"/>
    <w:p>
      <w:pPr>
        <w:pStyle w:val="Heading3"/>
      </w:pPr>
      <w:r>
        <w:t xml:space="preserve">Структурный moat №2 — слой над существующим стеком</w:t>
      </w:r>
    </w:p>
    <w:p>
      <w:pPr>
        <w:pStyle w:val="FirstParagraph"/>
      </w:pPr>
      <w:r>
        <w:t xml:space="preserve">RAI не обязан выигрывать войну у ERP, АгроСигнала, AssistAgro или ExactFarming на уровне базовой инфраструктуры.</w:t>
      </w:r>
      <w:r>
        <w:t xml:space="preserve"> </w:t>
      </w:r>
      <w:r>
        <w:t xml:space="preserve">Наоборот, оба исследования подводят к выводу, что RAI выгоднее быть</w:t>
      </w:r>
      <w:r>
        <w:t xml:space="preserve"> </w:t>
      </w:r>
      <w:r>
        <w:rPr>
          <w:b/>
          <w:bCs/>
        </w:rPr>
        <w:t xml:space="preserve">надстройкой</w:t>
      </w:r>
      <w:r>
        <w:t xml:space="preserve"> </w:t>
      </w:r>
      <w:r>
        <w:t xml:space="preserve">над существующим цифровым стеком, превращая разрозненные данные в управляемое исполнение и результат.</w:t>
      </w:r>
    </w:p>
    <w:bookmarkEnd w:id="31"/>
    <w:bookmarkStart w:id="32" w:name="структурный-moat-3-aligned-incentives"/>
    <w:p>
      <w:pPr>
        <w:pStyle w:val="Heading3"/>
      </w:pPr>
      <w:r>
        <w:t xml:space="preserve">Структурный moat №3 — aligned incentives</w:t>
      </w:r>
    </w:p>
    <w:p>
      <w:pPr>
        <w:pStyle w:val="FirstParagraph"/>
      </w:pPr>
      <w:r>
        <w:t xml:space="preserve">Массовые платформы продаются по SaaS-модели, а не через долю в Δ результата. В одном из исследований это отмечено прямо: ни одна из массовых платформ не использует как базовую модель долю от Δ урожайности/прибыли.</w:t>
      </w:r>
      <w:r>
        <w:t xml:space="preserve"> </w:t>
      </w:r>
      <w:r>
        <w:t xml:space="preserve">Это даёт RAI шанс быть не просто</w:t>
      </w:r>
      <w:r>
        <w:t xml:space="preserve"> </w:t>
      </w:r>
      <w:r>
        <w:t xml:space="preserve">“</w:t>
      </w:r>
      <w:r>
        <w:t xml:space="preserve">инструментом</w:t>
      </w:r>
      <w:r>
        <w:t xml:space="preserve">”</w:t>
      </w:r>
      <w:r>
        <w:t xml:space="preserve">, а оператором с другой экономикой доверия.</w:t>
      </w:r>
    </w:p>
    <w:bookmarkEnd w:id="32"/>
    <w:bookmarkStart w:id="33" w:name="Xe4126f3846ebcb739604a577c0cc66a36ed3b52"/>
    <w:p>
      <w:pPr>
        <w:pStyle w:val="Heading3"/>
      </w:pPr>
      <w:r>
        <w:t xml:space="preserve">Структурный moat №4 — независимость от продуктовой корзины</w:t>
      </w:r>
    </w:p>
    <w:p>
      <w:pPr>
        <w:pStyle w:val="FirstParagraph"/>
      </w:pPr>
      <w:r>
        <w:t xml:space="preserve">Поставщики СЗР и удобрений сильны, но системно конфликтны.</w:t>
      </w:r>
      <w:r>
        <w:t xml:space="preserve"> </w:t>
      </w:r>
      <w:r>
        <w:t xml:space="preserve">RAI может строить moat на том, что его интерес совпадает не с объёмом проданного входа, а с результатом хозяйства.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где-rai-должен-брать-рынок-первым"/>
    <w:p>
      <w:pPr>
        <w:pStyle w:val="Heading2"/>
      </w:pPr>
      <w:r>
        <w:t xml:space="preserve">5. Где RAI должен брать рынок первым</w:t>
      </w:r>
    </w:p>
    <w:p>
      <w:pPr>
        <w:pStyle w:val="FirstParagraph"/>
      </w:pPr>
      <w:r>
        <w:t xml:space="preserve">В исследованиях выделены четыре ниши, где RAI быстрее всего доказывает эффект.</w:t>
      </w:r>
    </w:p>
    <w:bookmarkStart w:id="35" w:name="X5c4aaceff8ba84e82cdd9ebf227ce772ab71642"/>
    <w:p>
      <w:pPr>
        <w:pStyle w:val="Heading3"/>
      </w:pPr>
      <w:r>
        <w:t xml:space="preserve">1. Средние и крупные хозяйства, уже купившие цифровизацию, но не получившие ROI</w:t>
      </w:r>
    </w:p>
    <w:p>
      <w:pPr>
        <w:pStyle w:val="FirstParagraph"/>
      </w:pPr>
      <w:r>
        <w:t xml:space="preserve">Это наиболее рациональный первый сегмент:</w:t>
      </w:r>
    </w:p>
    <w:p>
      <w:pPr>
        <w:pStyle w:val="Compact"/>
        <w:numPr>
          <w:ilvl w:val="0"/>
          <w:numId w:val="1007"/>
        </w:numPr>
      </w:pPr>
      <w:r>
        <w:t xml:space="preserve">данные уже есть,</w:t>
      </w:r>
    </w:p>
    <w:p>
      <w:pPr>
        <w:pStyle w:val="Compact"/>
        <w:numPr>
          <w:ilvl w:val="0"/>
          <w:numId w:val="1007"/>
        </w:numPr>
      </w:pPr>
      <w:r>
        <w:t xml:space="preserve">платформы уже стоят,</w:t>
      </w:r>
    </w:p>
    <w:p>
      <w:pPr>
        <w:pStyle w:val="Compact"/>
        <w:numPr>
          <w:ilvl w:val="0"/>
          <w:numId w:val="1007"/>
        </w:numPr>
      </w:pPr>
      <w:r>
        <w:t xml:space="preserve">боль не в</w:t>
      </w:r>
      <w:r>
        <w:t xml:space="preserve"> </w:t>
      </w:r>
      <w:r>
        <w:t xml:space="preserve">“</w:t>
      </w:r>
      <w:r>
        <w:t xml:space="preserve">отсутствии цифры</w:t>
      </w:r>
      <w:r>
        <w:t xml:space="preserve">”</w:t>
      </w:r>
      <w:r>
        <w:t xml:space="preserve">, а в отсутствии результата от неё.</w:t>
      </w:r>
      <w:r>
        <w:t xml:space="preserve"> </w:t>
      </w:r>
      <w:r>
        <w:t xml:space="preserve">Логика входа: поставить TechMap-контракт и контур контроля исполнения поверх существующего стека.</w:t>
      </w:r>
    </w:p>
    <w:bookmarkEnd w:id="35"/>
    <w:bookmarkStart w:id="36" w:name="Xfbfa6f044919e5d58d243d490858c2b29354e02"/>
    <w:p>
      <w:pPr>
        <w:pStyle w:val="Heading3"/>
      </w:pPr>
      <w:r>
        <w:t xml:space="preserve">2. Хозяйства с высоким кредитным и страховым плечом</w:t>
      </w:r>
    </w:p>
    <w:p>
      <w:pPr>
        <w:pStyle w:val="FirstParagraph"/>
      </w:pPr>
      <w:r>
        <w:t xml:space="preserve">Здесь TechMap нужен не как агрономическая бумага, а как:</w:t>
      </w:r>
    </w:p>
    <w:p>
      <w:pPr>
        <w:pStyle w:val="Compact"/>
        <w:numPr>
          <w:ilvl w:val="0"/>
          <w:numId w:val="1008"/>
        </w:numPr>
      </w:pPr>
      <w:r>
        <w:t xml:space="preserve">риск-профиль,</w:t>
      </w:r>
    </w:p>
    <w:p>
      <w:pPr>
        <w:pStyle w:val="Compact"/>
        <w:numPr>
          <w:ilvl w:val="0"/>
          <w:numId w:val="1008"/>
        </w:numPr>
      </w:pPr>
      <w:r>
        <w:t xml:space="preserve">календарь обязательств,</w:t>
      </w:r>
    </w:p>
    <w:p>
      <w:pPr>
        <w:pStyle w:val="Compact"/>
        <w:numPr>
          <w:ilvl w:val="0"/>
          <w:numId w:val="1008"/>
        </w:numPr>
      </w:pPr>
      <w:r>
        <w:t xml:space="preserve">доказательная база исполнения.</w:t>
      </w:r>
      <w:r>
        <w:t xml:space="preserve"> </w:t>
      </w:r>
      <w:r>
        <w:t xml:space="preserve">Это повышает экономическую ценность RAI для банка и страховой, а не только для агронома.</w:t>
      </w:r>
    </w:p>
    <w:bookmarkEnd w:id="36"/>
    <w:bookmarkStart w:id="37" w:name="Xf95317e4bdf775a61bcc1ac34d614789d6971f8"/>
    <w:p>
      <w:pPr>
        <w:pStyle w:val="Heading3"/>
      </w:pPr>
      <w:r>
        <w:t xml:space="preserve">3. Проекты импортозамещения и смены цифрового стека</w:t>
      </w:r>
    </w:p>
    <w:p>
      <w:pPr>
        <w:pStyle w:val="FirstParagraph"/>
      </w:pPr>
      <w:r>
        <w:t xml:space="preserve">В исследованиях это описано как сегмент, где нужен не просто внедренец софта, а</w:t>
      </w:r>
      <w:r>
        <w:t xml:space="preserve"> </w:t>
      </w:r>
      <w:r>
        <w:rPr>
          <w:b/>
          <w:bCs/>
        </w:rPr>
        <w:t xml:space="preserve">оператор изменений</w:t>
      </w:r>
      <w:r>
        <w:t xml:space="preserve">, который переносит управленческую модель сезона, а не только интерфейс.</w:t>
      </w:r>
    </w:p>
    <w:bookmarkEnd w:id="37"/>
    <w:bookmarkStart w:id="38" w:name="X909ebc73c8e447a306ba3205c11b6ec463044de"/>
    <w:p>
      <w:pPr>
        <w:pStyle w:val="Heading3"/>
      </w:pPr>
      <w:r>
        <w:t xml:space="preserve">4. Контрактное производство и цепочки зерно/масличные</w:t>
      </w:r>
    </w:p>
    <w:p>
      <w:pPr>
        <w:pStyle w:val="FirstParagraph"/>
      </w:pPr>
      <w:r>
        <w:t xml:space="preserve">Здесь RAI может стать не</w:t>
      </w:r>
      <w:r>
        <w:t xml:space="preserve"> </w:t>
      </w:r>
      <w:r>
        <w:t xml:space="preserve">“</w:t>
      </w:r>
      <w:r>
        <w:t xml:space="preserve">консультантом</w:t>
      </w:r>
      <w:r>
        <w:t xml:space="preserve">”</w:t>
      </w:r>
      <w:r>
        <w:t xml:space="preserve">, а</w:t>
      </w:r>
      <w:r>
        <w:t xml:space="preserve"> </w:t>
      </w:r>
      <w:r>
        <w:rPr>
          <w:b/>
          <w:bCs/>
        </w:rPr>
        <w:t xml:space="preserve">оператором доверия</w:t>
      </w:r>
      <w:r>
        <w:t xml:space="preserve"> </w:t>
      </w:r>
      <w:r>
        <w:t xml:space="preserve">между хозяйством и контрагентом по урожаю.</w:t>
      </w:r>
    </w:p>
    <w:p>
      <w:pPr>
        <w:pStyle w:val="BodyText"/>
      </w:pPr>
      <w:r>
        <w:rPr>
          <w:b/>
          <w:bCs/>
        </w:rPr>
        <w:t xml:space="preserve">GTM-вывод:</w:t>
      </w:r>
      <w:r>
        <w:t xml:space="preserve"> </w:t>
      </w:r>
      <w:r>
        <w:t xml:space="preserve">Первые продажи RAI должны идти не в самые маленькие хозяйства и не в</w:t>
      </w:r>
      <w:r>
        <w:t xml:space="preserve"> </w:t>
      </w:r>
      <w:r>
        <w:t xml:space="preserve">“</w:t>
      </w:r>
      <w:r>
        <w:t xml:space="preserve">чистый консалтинг</w:t>
      </w:r>
      <w:r>
        <w:t xml:space="preserve">”</w:t>
      </w:r>
      <w:r>
        <w:t xml:space="preserve">, а туда, где уже есть:</w:t>
      </w:r>
    </w:p>
    <w:p>
      <w:pPr>
        <w:pStyle w:val="Compact"/>
        <w:numPr>
          <w:ilvl w:val="0"/>
          <w:numId w:val="1009"/>
        </w:numPr>
      </w:pPr>
      <w:r>
        <w:t xml:space="preserve">данные,</w:t>
      </w:r>
    </w:p>
    <w:p>
      <w:pPr>
        <w:pStyle w:val="Compact"/>
        <w:numPr>
          <w:ilvl w:val="0"/>
          <w:numId w:val="1009"/>
        </w:numPr>
      </w:pPr>
      <w:r>
        <w:t xml:space="preserve">финансовое давление,</w:t>
      </w:r>
    </w:p>
    <w:p>
      <w:pPr>
        <w:pStyle w:val="Compact"/>
        <w:numPr>
          <w:ilvl w:val="0"/>
          <w:numId w:val="1009"/>
        </w:numPr>
      </w:pPr>
      <w:r>
        <w:t xml:space="preserve">потребность в доказуемости,</w:t>
      </w:r>
    </w:p>
    <w:p>
      <w:pPr>
        <w:pStyle w:val="Compact"/>
        <w:numPr>
          <w:ilvl w:val="0"/>
          <w:numId w:val="1009"/>
        </w:numPr>
      </w:pPr>
      <w:r>
        <w:t xml:space="preserve">высокая цена ошибки исполнения.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кто-реально-опасен"/>
    <w:p>
      <w:pPr>
        <w:pStyle w:val="Heading2"/>
      </w:pPr>
      <w:r>
        <w:t xml:space="preserve">6. Кто реально опасен</w:t>
      </w:r>
    </w:p>
    <w:p>
      <w:pPr>
        <w:pStyle w:val="FirstParagraph"/>
      </w:pPr>
      <w:r>
        <w:t xml:space="preserve">Главный вывод обоих исследований:</w:t>
      </w:r>
      <w:r>
        <w:t xml:space="preserve"> </w:t>
      </w:r>
      <w:r>
        <w:rPr>
          <w:b/>
          <w:bCs/>
        </w:rPr>
        <w:t xml:space="preserve">RAI убьют не классические консультанты.</w:t>
      </w:r>
    </w:p>
    <w:bookmarkStart w:id="44" w:name="самые-опасные-группы"/>
    <w:p>
      <w:pPr>
        <w:pStyle w:val="Heading3"/>
      </w:pPr>
      <w:r>
        <w:t xml:space="preserve">Самые опасные группы</w:t>
      </w:r>
    </w:p>
    <w:bookmarkStart w:id="40" w:name="X1fbfde5eb40ec916a2cdef04bb25c8a5e2bda89"/>
    <w:p>
      <w:pPr>
        <w:pStyle w:val="Heading4"/>
      </w:pPr>
      <w:r>
        <w:t xml:space="preserve">1. Поставщики входов как скрытые операторы технологии</w:t>
      </w:r>
    </w:p>
    <w:p>
      <w:pPr>
        <w:pStyle w:val="FirstParagraph"/>
      </w:pPr>
      <w:r>
        <w:t xml:space="preserve">Агро Эксперт Груп, ФосАгро-Регион, ЕвроХим, Август, Betaren и подобные игроки:</w:t>
      </w:r>
    </w:p>
    <w:p>
      <w:pPr>
        <w:pStyle w:val="Compact"/>
        <w:numPr>
          <w:ilvl w:val="0"/>
          <w:numId w:val="1010"/>
        </w:numPr>
      </w:pPr>
      <w:r>
        <w:t xml:space="preserve">субсидируют сервис через продукт,</w:t>
      </w:r>
    </w:p>
    <w:p>
      <w:pPr>
        <w:pStyle w:val="Compact"/>
        <w:numPr>
          <w:ilvl w:val="0"/>
          <w:numId w:val="1010"/>
        </w:numPr>
      </w:pPr>
      <w:r>
        <w:t xml:space="preserve">имеют полевую сеть,</w:t>
      </w:r>
    </w:p>
    <w:p>
      <w:pPr>
        <w:pStyle w:val="Compact"/>
        <w:numPr>
          <w:ilvl w:val="0"/>
          <w:numId w:val="1010"/>
        </w:numPr>
      </w:pPr>
      <w:r>
        <w:t xml:space="preserve">влияют на агрономический выбор,</w:t>
      </w:r>
    </w:p>
    <w:p>
      <w:pPr>
        <w:pStyle w:val="Compact"/>
        <w:numPr>
          <w:ilvl w:val="0"/>
          <w:numId w:val="1010"/>
        </w:numPr>
      </w:pPr>
      <w:r>
        <w:t xml:space="preserve">умеют быстро масштабироваться через дистрибуцию.</w:t>
      </w:r>
      <w:r>
        <w:t xml:space="preserve"> </w:t>
      </w:r>
      <w:r>
        <w:t xml:space="preserve">Они опасны тем, что для части рынка</w:t>
      </w:r>
      <w:r>
        <w:t xml:space="preserve"> </w:t>
      </w:r>
      <w:r>
        <w:t xml:space="preserve">“</w:t>
      </w:r>
      <w:r>
        <w:t xml:space="preserve">бесплатное агросопровождение</w:t>
      </w:r>
      <w:r>
        <w:t xml:space="preserve">”</w:t>
      </w:r>
      <w:r>
        <w:t xml:space="preserve"> </w:t>
      </w:r>
      <w:r>
        <w:t xml:space="preserve">выглядит достаточным.</w:t>
      </w:r>
    </w:p>
    <w:bookmarkEnd w:id="40"/>
    <w:bookmarkStart w:id="41" w:name="платформы-операционного-контура"/>
    <w:p>
      <w:pPr>
        <w:pStyle w:val="Heading4"/>
      </w:pPr>
      <w:r>
        <w:t xml:space="preserve">2. Платформы операционного контура</w:t>
      </w:r>
    </w:p>
    <w:p>
      <w:pPr>
        <w:pStyle w:val="FirstParagraph"/>
      </w:pPr>
      <w:r>
        <w:t xml:space="preserve">АгроСигнал, AssistAgro / История поля, ExactFarming.</w:t>
      </w:r>
      <w:r>
        <w:t xml:space="preserve"> </w:t>
      </w:r>
      <w:r>
        <w:t xml:space="preserve">Они уже сидят в:</w:t>
      </w:r>
    </w:p>
    <w:p>
      <w:pPr>
        <w:pStyle w:val="Compact"/>
        <w:numPr>
          <w:ilvl w:val="0"/>
          <w:numId w:val="1011"/>
        </w:numPr>
      </w:pPr>
      <w:r>
        <w:t xml:space="preserve">заданиях,</w:t>
      </w:r>
    </w:p>
    <w:p>
      <w:pPr>
        <w:pStyle w:val="Compact"/>
        <w:numPr>
          <w:ilvl w:val="0"/>
          <w:numId w:val="1011"/>
        </w:numPr>
      </w:pPr>
      <w:r>
        <w:t xml:space="preserve">техкартах,</w:t>
      </w:r>
    </w:p>
    <w:p>
      <w:pPr>
        <w:pStyle w:val="Compact"/>
        <w:numPr>
          <w:ilvl w:val="0"/>
          <w:numId w:val="1011"/>
        </w:numPr>
      </w:pPr>
      <w:r>
        <w:t xml:space="preserve">мониторинге,</w:t>
      </w:r>
    </w:p>
    <w:p>
      <w:pPr>
        <w:pStyle w:val="Compact"/>
        <w:numPr>
          <w:ilvl w:val="0"/>
          <w:numId w:val="1011"/>
        </w:numPr>
      </w:pPr>
      <w:r>
        <w:t xml:space="preserve">исполнении,</w:t>
      </w:r>
    </w:p>
    <w:p>
      <w:pPr>
        <w:pStyle w:val="Compact"/>
        <w:numPr>
          <w:ilvl w:val="0"/>
          <w:numId w:val="1011"/>
        </w:numPr>
      </w:pPr>
      <w:r>
        <w:t xml:space="preserve">данных сезона.</w:t>
      </w:r>
      <w:r>
        <w:t xml:space="preserve"> </w:t>
      </w:r>
      <w:r>
        <w:t xml:space="preserve">Исследования прямо называют АгроСигнал и AssistAgro одними из наиболее близких к RAI игроков по идее операционного слоя управления сезоном.</w:t>
      </w:r>
    </w:p>
    <w:bookmarkEnd w:id="41"/>
    <w:bookmarkStart w:id="42" w:name="экосистемы-денег-и-транзакций"/>
    <w:p>
      <w:pPr>
        <w:pStyle w:val="Heading4"/>
      </w:pPr>
      <w:r>
        <w:t xml:space="preserve">3. Экосистемы денег и транзакций</w:t>
      </w:r>
    </w:p>
    <w:p>
      <w:pPr>
        <w:pStyle w:val="FirstParagraph"/>
      </w:pPr>
      <w:r>
        <w:t xml:space="preserve">Россельхозбанк / Своё.Фермерство, поле.рф, Деметра-Холдинг.</w:t>
      </w:r>
      <w:r>
        <w:t xml:space="preserve"> </w:t>
      </w:r>
      <w:r>
        <w:t xml:space="preserve">Их сила в том, что они могут забирать маржу клиента через:</w:t>
      </w:r>
    </w:p>
    <w:p>
      <w:pPr>
        <w:pStyle w:val="Compact"/>
        <w:numPr>
          <w:ilvl w:val="0"/>
          <w:numId w:val="1012"/>
        </w:numPr>
      </w:pPr>
      <w:r>
        <w:t xml:space="preserve">кредит,</w:t>
      </w:r>
    </w:p>
    <w:p>
      <w:pPr>
        <w:pStyle w:val="Compact"/>
        <w:numPr>
          <w:ilvl w:val="0"/>
          <w:numId w:val="1012"/>
        </w:numPr>
      </w:pPr>
      <w:r>
        <w:t xml:space="preserve">комиссию,</w:t>
      </w:r>
    </w:p>
    <w:p>
      <w:pPr>
        <w:pStyle w:val="Compact"/>
        <w:numPr>
          <w:ilvl w:val="0"/>
          <w:numId w:val="1012"/>
        </w:numPr>
      </w:pPr>
      <w:r>
        <w:t xml:space="preserve">контрактование,</w:t>
      </w:r>
    </w:p>
    <w:p>
      <w:pPr>
        <w:pStyle w:val="Compact"/>
        <w:numPr>
          <w:ilvl w:val="0"/>
          <w:numId w:val="1012"/>
        </w:numPr>
      </w:pPr>
      <w:r>
        <w:t xml:space="preserve">логистику,</w:t>
      </w:r>
    </w:p>
    <w:p>
      <w:pPr>
        <w:pStyle w:val="Compact"/>
        <w:numPr>
          <w:ilvl w:val="0"/>
          <w:numId w:val="1012"/>
        </w:numPr>
      </w:pPr>
      <w:r>
        <w:t xml:space="preserve">встроенный стандарт данных.</w:t>
      </w:r>
      <w:r>
        <w:t xml:space="preserve"> </w:t>
      </w:r>
      <w:r>
        <w:t xml:space="preserve">Особенно опасны они там, где главная боль клиента — оборотка, сбыт и контрактация, а не чистая агрономия.</w:t>
      </w:r>
    </w:p>
    <w:bookmarkEnd w:id="42"/>
    <w:bookmarkStart w:id="43" w:name="государственный-цифровой-контур"/>
    <w:p>
      <w:pPr>
        <w:pStyle w:val="Heading4"/>
      </w:pPr>
      <w:r>
        <w:t xml:space="preserve">4. Государственный цифровой контур</w:t>
      </w:r>
    </w:p>
    <w:p>
      <w:pPr>
        <w:pStyle w:val="FirstParagraph"/>
      </w:pPr>
      <w:r>
        <w:t xml:space="preserve">Агропромцифра и консолидация ФГИС опасны не как</w:t>
      </w:r>
      <w:r>
        <w:t xml:space="preserve"> </w:t>
      </w:r>
      <w:r>
        <w:t xml:space="preserve">“</w:t>
      </w:r>
      <w:r>
        <w:t xml:space="preserve">коммерческий конкурент</w:t>
      </w:r>
      <w:r>
        <w:t xml:space="preserve">”</w:t>
      </w:r>
      <w:r>
        <w:t xml:space="preserve">, а как инфраструктурный сдвиг.</w:t>
      </w:r>
      <w:r>
        <w:t xml:space="preserve"> </w:t>
      </w:r>
      <w:r>
        <w:t xml:space="preserve">Кто станет стандартом интерфейса данных и интеграций, тот получит непропорциональное влияние на рынок.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главный-риск-инвестиционной-истории"/>
    <w:p>
      <w:pPr>
        <w:pStyle w:val="Heading2"/>
      </w:pPr>
      <w:r>
        <w:t xml:space="preserve">7. Главный риск инвестиционной истории</w:t>
      </w:r>
    </w:p>
    <w:p>
      <w:pPr>
        <w:pStyle w:val="FirstParagraph"/>
      </w:pPr>
      <w:r>
        <w:t xml:space="preserve">Слабое место RAI в исследованиях тоже обозначено чётко:</w:t>
      </w:r>
    </w:p>
    <w:p>
      <w:pPr>
        <w:pStyle w:val="Compact"/>
        <w:numPr>
          <w:ilvl w:val="0"/>
          <w:numId w:val="1013"/>
        </w:numPr>
      </w:pPr>
      <w:r>
        <w:t xml:space="preserve">высокая операционная сложность,</w:t>
      </w:r>
    </w:p>
    <w:p>
      <w:pPr>
        <w:pStyle w:val="Compact"/>
        <w:numPr>
          <w:ilvl w:val="0"/>
          <w:numId w:val="1013"/>
        </w:numPr>
      </w:pPr>
      <w:r>
        <w:t xml:space="preserve">длинный цикл продаж,</w:t>
      </w:r>
    </w:p>
    <w:p>
      <w:pPr>
        <w:pStyle w:val="Compact"/>
        <w:numPr>
          <w:ilvl w:val="0"/>
          <w:numId w:val="1013"/>
        </w:numPr>
      </w:pPr>
      <w:r>
        <w:t xml:space="preserve">необходимость доверенной методики измерения Δ,</w:t>
      </w:r>
    </w:p>
    <w:p>
      <w:pPr>
        <w:pStyle w:val="Compact"/>
        <w:numPr>
          <w:ilvl w:val="0"/>
          <w:numId w:val="1013"/>
        </w:numPr>
      </w:pPr>
      <w:r>
        <w:t xml:space="preserve">необходимость сильной юридической архитектуры,</w:t>
      </w:r>
    </w:p>
    <w:p>
      <w:pPr>
        <w:pStyle w:val="Compact"/>
        <w:numPr>
          <w:ilvl w:val="0"/>
          <w:numId w:val="1013"/>
        </w:numPr>
      </w:pPr>
      <w:r>
        <w:t xml:space="preserve">зависимость от качества полевого исполнения у клиента.</w:t>
      </w:r>
    </w:p>
    <w:p>
      <w:pPr>
        <w:pStyle w:val="FirstParagraph"/>
      </w:pPr>
      <w:r>
        <w:t xml:space="preserve">То есть RAI может проиграть не из-за плохой идеи, а из-за одной из трёх ошибок:</w:t>
      </w:r>
    </w:p>
    <w:bookmarkStart w:id="46" w:name="X3aed2daba7add3633c2d0613e3e8aa974e519b5"/>
    <w:p>
      <w:pPr>
        <w:pStyle w:val="Heading3"/>
      </w:pPr>
      <w:r>
        <w:t xml:space="preserve">Ошибка 1. Превратиться в дорогой консалтинг</w:t>
      </w:r>
    </w:p>
    <w:p>
      <w:pPr>
        <w:pStyle w:val="FirstParagraph"/>
      </w:pPr>
      <w:r>
        <w:t xml:space="preserve">Тогда модель не масштабируется и упрётся в людей.</w:t>
      </w:r>
    </w:p>
    <w:bookmarkEnd w:id="46"/>
    <w:bookmarkStart w:id="47" w:name="ошибка-2.-превратиться-в-обычный-saas"/>
    <w:p>
      <w:pPr>
        <w:pStyle w:val="Heading3"/>
      </w:pPr>
      <w:r>
        <w:t xml:space="preserve">Ошибка 2. Превратиться в обычный SaaS</w:t>
      </w:r>
    </w:p>
    <w:p>
      <w:pPr>
        <w:pStyle w:val="FirstParagraph"/>
      </w:pPr>
      <w:r>
        <w:t xml:space="preserve">Тогда исчезнет дифференциация и начнётся прямая война с платформами, которые уже глубже сидят в данных и операциях.</w:t>
      </w:r>
    </w:p>
    <w:bookmarkEnd w:id="47"/>
    <w:bookmarkStart w:id="48" w:name="Xda364bc261a45ca11c2e624e29bba9800773bc6"/>
    <w:p>
      <w:pPr>
        <w:pStyle w:val="Heading3"/>
      </w:pPr>
      <w:r>
        <w:t xml:space="preserve">Ошибка 3. Недостроить контрактно-финансовый слой</w:t>
      </w:r>
    </w:p>
    <w:p>
      <w:pPr>
        <w:pStyle w:val="FirstParagraph"/>
      </w:pPr>
      <w:r>
        <w:t xml:space="preserve">Тогда RAI останется</w:t>
      </w:r>
      <w:r>
        <w:t xml:space="preserve"> </w:t>
      </w:r>
      <w:r>
        <w:t xml:space="preserve">“</w:t>
      </w:r>
      <w:r>
        <w:t xml:space="preserve">умным модулем</w:t>
      </w:r>
      <w:r>
        <w:t xml:space="preserve">”</w:t>
      </w:r>
      <w:r>
        <w:t xml:space="preserve">, а экономику клиента заберут банк, экосистема или поставщик.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Xb41964fc61eeb1da150c9d1b8a0d932b590e7c8"/>
    <w:p>
      <w:pPr>
        <w:pStyle w:val="Heading2"/>
      </w:pPr>
      <w:r>
        <w:t xml:space="preserve">8. Что должно быть доказано инвестору в ближайшие 12–24 месяца</w:t>
      </w:r>
    </w:p>
    <w:p>
      <w:pPr>
        <w:pStyle w:val="FirstParagraph"/>
      </w:pPr>
      <w:r>
        <w:t xml:space="preserve">Чтобы инвестиционный тезис RAI выглядел не концептом, а системой, нужно доказать пять вещей.</w:t>
      </w:r>
    </w:p>
    <w:bookmarkStart w:id="50" w:name="X14b350c8883e05d066079253e064240f74d0722"/>
    <w:p>
      <w:pPr>
        <w:pStyle w:val="Heading3"/>
      </w:pPr>
      <w:r>
        <w:t xml:space="preserve">1. Что TechMap реально работает как стандарт управления</w:t>
      </w:r>
    </w:p>
    <w:p>
      <w:pPr>
        <w:pStyle w:val="FirstParagraph"/>
      </w:pPr>
      <w:r>
        <w:t xml:space="preserve">Нужен кейс, где TechMap:</w:t>
      </w:r>
    </w:p>
    <w:p>
      <w:pPr>
        <w:pStyle w:val="Compact"/>
        <w:numPr>
          <w:ilvl w:val="0"/>
          <w:numId w:val="1014"/>
        </w:numPr>
      </w:pPr>
      <w:r>
        <w:t xml:space="preserve">управляет сезоном,</w:t>
      </w:r>
    </w:p>
    <w:p>
      <w:pPr>
        <w:pStyle w:val="Compact"/>
        <w:numPr>
          <w:ilvl w:val="0"/>
          <w:numId w:val="1014"/>
        </w:numPr>
      </w:pPr>
      <w:r>
        <w:t xml:space="preserve">фиксирует отклонения,</w:t>
      </w:r>
    </w:p>
    <w:p>
      <w:pPr>
        <w:pStyle w:val="Compact"/>
        <w:numPr>
          <w:ilvl w:val="0"/>
          <w:numId w:val="1014"/>
        </w:numPr>
      </w:pPr>
      <w:r>
        <w:t xml:space="preserve">связывает агрономию и экономику.</w:t>
      </w:r>
    </w:p>
    <w:bookmarkEnd w:id="50"/>
    <w:bookmarkStart w:id="51" w:name="что-результат-измерим"/>
    <w:p>
      <w:pPr>
        <w:pStyle w:val="Heading3"/>
      </w:pPr>
      <w:r>
        <w:t xml:space="preserve">2. Что результат измерим</w:t>
      </w:r>
    </w:p>
    <w:p>
      <w:pPr>
        <w:pStyle w:val="FirstParagraph"/>
      </w:pPr>
      <w:r>
        <w:t xml:space="preserve">Нужна доверенная методика расчёта:</w:t>
      </w:r>
    </w:p>
    <w:p>
      <w:pPr>
        <w:pStyle w:val="Compact"/>
        <w:numPr>
          <w:ilvl w:val="0"/>
          <w:numId w:val="1015"/>
        </w:numPr>
      </w:pPr>
      <w:r>
        <w:t xml:space="preserve">Δ урожайности,</w:t>
      </w:r>
    </w:p>
    <w:p>
      <w:pPr>
        <w:pStyle w:val="Compact"/>
        <w:numPr>
          <w:ilvl w:val="0"/>
          <w:numId w:val="1015"/>
        </w:numPr>
      </w:pPr>
      <w:r>
        <w:t xml:space="preserve">Δ маржи,</w:t>
      </w:r>
    </w:p>
    <w:p>
      <w:pPr>
        <w:pStyle w:val="Compact"/>
        <w:numPr>
          <w:ilvl w:val="0"/>
          <w:numId w:val="1015"/>
        </w:numPr>
      </w:pPr>
      <w:r>
        <w:t xml:space="preserve">предотвращённых потерь,</w:t>
      </w:r>
    </w:p>
    <w:p>
      <w:pPr>
        <w:pStyle w:val="Compact"/>
        <w:numPr>
          <w:ilvl w:val="0"/>
          <w:numId w:val="1015"/>
        </w:numPr>
      </w:pPr>
      <w:r>
        <w:t xml:space="preserve">эффекта от дисциплины исполнения.</w:t>
      </w:r>
    </w:p>
    <w:bookmarkEnd w:id="51"/>
    <w:bookmarkStart w:id="52" w:name="X110729421cd7ba7911f36c90f3915a2395fd453"/>
    <w:p>
      <w:pPr>
        <w:pStyle w:val="Heading3"/>
      </w:pPr>
      <w:r>
        <w:t xml:space="preserve">3. Что модель масштабируется поверх чужой инфраструктуры</w:t>
      </w:r>
    </w:p>
    <w:p>
      <w:pPr>
        <w:pStyle w:val="FirstParagraph"/>
      </w:pPr>
      <w:r>
        <w:t xml:space="preserve">Инвестор должен увидеть, что RAI может быстро накладываться на:</w:t>
      </w:r>
    </w:p>
    <w:p>
      <w:pPr>
        <w:pStyle w:val="Compact"/>
        <w:numPr>
          <w:ilvl w:val="0"/>
          <w:numId w:val="1016"/>
        </w:numPr>
      </w:pPr>
      <w:r>
        <w:t xml:space="preserve">ERP,</w:t>
      </w:r>
    </w:p>
    <w:p>
      <w:pPr>
        <w:pStyle w:val="Compact"/>
        <w:numPr>
          <w:ilvl w:val="0"/>
          <w:numId w:val="1016"/>
        </w:numPr>
      </w:pPr>
      <w:r>
        <w:t xml:space="preserve">телематику,</w:t>
      </w:r>
    </w:p>
    <w:p>
      <w:pPr>
        <w:pStyle w:val="Compact"/>
        <w:numPr>
          <w:ilvl w:val="0"/>
          <w:numId w:val="1016"/>
        </w:numPr>
      </w:pPr>
      <w:r>
        <w:t xml:space="preserve">AgTech,</w:t>
      </w:r>
    </w:p>
    <w:p>
      <w:pPr>
        <w:pStyle w:val="Compact"/>
        <w:numPr>
          <w:ilvl w:val="0"/>
          <w:numId w:val="1016"/>
        </w:numPr>
      </w:pPr>
      <w:r>
        <w:t xml:space="preserve">ФГИС,</w:t>
      </w:r>
      <w:r>
        <w:t xml:space="preserve"> </w:t>
      </w:r>
      <w:r>
        <w:t xml:space="preserve">а не строить всё с нуля.</w:t>
      </w:r>
    </w:p>
    <w:bookmarkEnd w:id="52"/>
    <w:bookmarkStart w:id="53" w:name="Xc46c13e52c0b499729949feb3b3067d2a94645f"/>
    <w:p>
      <w:pPr>
        <w:pStyle w:val="Heading3"/>
      </w:pPr>
      <w:r>
        <w:t xml:space="preserve">4. Что есть хотя бы один финансовый канал beyond farm fee</w:t>
      </w:r>
    </w:p>
    <w:p>
      <w:pPr>
        <w:pStyle w:val="FirstParagraph"/>
      </w:pPr>
      <w:r>
        <w:t xml:space="preserve">Нужны признаки того, что RAI интересен:</w:t>
      </w:r>
    </w:p>
    <w:p>
      <w:pPr>
        <w:pStyle w:val="Compact"/>
        <w:numPr>
          <w:ilvl w:val="0"/>
          <w:numId w:val="1017"/>
        </w:numPr>
      </w:pPr>
      <w:r>
        <w:t xml:space="preserve">банкам,</w:t>
      </w:r>
    </w:p>
    <w:p>
      <w:pPr>
        <w:pStyle w:val="Compact"/>
        <w:numPr>
          <w:ilvl w:val="0"/>
          <w:numId w:val="1017"/>
        </w:numPr>
      </w:pPr>
      <w:r>
        <w:t xml:space="preserve">страховым,</w:t>
      </w:r>
    </w:p>
    <w:p>
      <w:pPr>
        <w:pStyle w:val="Compact"/>
        <w:numPr>
          <w:ilvl w:val="0"/>
          <w:numId w:val="1017"/>
        </w:numPr>
      </w:pPr>
      <w:r>
        <w:t xml:space="preserve">контракторам,</w:t>
      </w:r>
    </w:p>
    <w:p>
      <w:pPr>
        <w:pStyle w:val="Compact"/>
        <w:numPr>
          <w:ilvl w:val="0"/>
          <w:numId w:val="1017"/>
        </w:numPr>
      </w:pPr>
      <w:r>
        <w:t xml:space="preserve">трейдерам.</w:t>
      </w:r>
    </w:p>
    <w:bookmarkEnd w:id="53"/>
    <w:bookmarkStart w:id="54" w:name="X4433ffbffd864efed427f709b5a2467d3f32ffa"/>
    <w:p>
      <w:pPr>
        <w:pStyle w:val="Heading3"/>
      </w:pPr>
      <w:r>
        <w:t xml:space="preserve">5. Что клиент платит не</w:t>
      </w:r>
      <w:r>
        <w:t xml:space="preserve"> </w:t>
      </w:r>
      <w:r>
        <w:t xml:space="preserve">“</w:t>
      </w:r>
      <w:r>
        <w:t xml:space="preserve">за рекомендации</w:t>
      </w:r>
      <w:r>
        <w:t xml:space="preserve">”</w:t>
      </w:r>
      <w:r>
        <w:t xml:space="preserve">, а за снижение риска и рост управляемости</w:t>
      </w:r>
    </w:p>
    <w:p>
      <w:pPr>
        <w:pStyle w:val="FirstParagraph"/>
      </w:pPr>
      <w:r>
        <w:t xml:space="preserve">Это ключевой разворот unit economics.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жёсткий-вывод-для-совета-инвестора"/>
    <w:p>
      <w:pPr>
        <w:pStyle w:val="Heading2"/>
      </w:pPr>
      <w:r>
        <w:t xml:space="preserve">9. Жёсткий вывод для совета / инвестора</w:t>
      </w:r>
    </w:p>
    <w:p>
      <w:pPr>
        <w:pStyle w:val="FirstParagraph"/>
      </w:pPr>
      <w:r>
        <w:rPr>
          <w:b/>
          <w:bCs/>
        </w:rPr>
        <w:t xml:space="preserve">RAI — это ставка на то, что рынок растениеводства в России созрел для появления независимого оператора сезона.</w:t>
      </w:r>
    </w:p>
    <w:p>
      <w:pPr>
        <w:pStyle w:val="BodyText"/>
      </w:pPr>
      <w:r>
        <w:t xml:space="preserve">Не независимого советника.</w:t>
      </w:r>
      <w:r>
        <w:t xml:space="preserve"> </w:t>
      </w:r>
      <w:r>
        <w:t xml:space="preserve">Не очередной цифровой платформы.</w:t>
      </w:r>
      <w:r>
        <w:t xml:space="preserve"> </w:t>
      </w:r>
      <w:r>
        <w:t xml:space="preserve">Не поставщика агрономических модулей.</w:t>
      </w:r>
      <w:r>
        <w:t xml:space="preserve"> </w:t>
      </w:r>
      <w:r>
        <w:t xml:space="preserve">А игрока, который:</w:t>
      </w:r>
    </w:p>
    <w:p>
      <w:pPr>
        <w:pStyle w:val="Compact"/>
        <w:numPr>
          <w:ilvl w:val="0"/>
          <w:numId w:val="1018"/>
        </w:numPr>
      </w:pPr>
      <w:r>
        <w:t xml:space="preserve">проектирует сезон,</w:t>
      </w:r>
    </w:p>
    <w:p>
      <w:pPr>
        <w:pStyle w:val="Compact"/>
        <w:numPr>
          <w:ilvl w:val="0"/>
          <w:numId w:val="1018"/>
        </w:numPr>
      </w:pPr>
      <w:r>
        <w:t xml:space="preserve">превращает его в контракт,</w:t>
      </w:r>
    </w:p>
    <w:p>
      <w:pPr>
        <w:pStyle w:val="Compact"/>
        <w:numPr>
          <w:ilvl w:val="0"/>
          <w:numId w:val="1018"/>
        </w:numPr>
      </w:pPr>
      <w:r>
        <w:t xml:space="preserve">управляет исполнением,</w:t>
      </w:r>
    </w:p>
    <w:p>
      <w:pPr>
        <w:pStyle w:val="Compact"/>
        <w:numPr>
          <w:ilvl w:val="0"/>
          <w:numId w:val="1018"/>
        </w:numPr>
      </w:pPr>
      <w:r>
        <w:t xml:space="preserve">участвует в экономическом результате.</w:t>
      </w:r>
    </w:p>
    <w:p>
      <w:pPr>
        <w:pStyle w:val="FirstParagraph"/>
      </w:pPr>
      <w:r>
        <w:rPr>
          <w:b/>
          <w:bCs/>
        </w:rPr>
        <w:t xml:space="preserve">Почему ставка выглядит рациональной:</w:t>
      </w:r>
    </w:p>
    <w:p>
      <w:pPr>
        <w:pStyle w:val="Compact"/>
        <w:numPr>
          <w:ilvl w:val="0"/>
          <w:numId w:val="1019"/>
        </w:numPr>
      </w:pPr>
      <w:r>
        <w:t xml:space="preserve">рынок фрагментирован;</w:t>
      </w:r>
    </w:p>
    <w:p>
      <w:pPr>
        <w:pStyle w:val="Compact"/>
        <w:numPr>
          <w:ilvl w:val="0"/>
          <w:numId w:val="1019"/>
        </w:numPr>
      </w:pPr>
      <w:r>
        <w:t xml:space="preserve">функции разбросаны между многими игроками;</w:t>
      </w:r>
    </w:p>
    <w:p>
      <w:pPr>
        <w:pStyle w:val="Compact"/>
        <w:numPr>
          <w:ilvl w:val="0"/>
          <w:numId w:val="1019"/>
        </w:numPr>
      </w:pPr>
      <w:r>
        <w:t xml:space="preserve">поставщики конфликтны;</w:t>
      </w:r>
    </w:p>
    <w:p>
      <w:pPr>
        <w:pStyle w:val="Compact"/>
        <w:numPr>
          <w:ilvl w:val="0"/>
          <w:numId w:val="1019"/>
        </w:numPr>
      </w:pPr>
      <w:r>
        <w:t xml:space="preserve">платформы редко участвуют в результате;</w:t>
      </w:r>
    </w:p>
    <w:p>
      <w:pPr>
        <w:pStyle w:val="Compact"/>
        <w:numPr>
          <w:ilvl w:val="0"/>
          <w:numId w:val="1019"/>
        </w:numPr>
      </w:pPr>
      <w:r>
        <w:t xml:space="preserve">банки и экосистемы сильны в деньгах, но не в агрономическом штабе;</w:t>
      </w:r>
    </w:p>
    <w:p>
      <w:pPr>
        <w:pStyle w:val="Compact"/>
        <w:numPr>
          <w:ilvl w:val="0"/>
          <w:numId w:val="1019"/>
        </w:numPr>
      </w:pPr>
      <w:r>
        <w:t xml:space="preserve">государственный контур усиливает спрос на формализацию и доказуемость.</w:t>
      </w:r>
    </w:p>
    <w:p>
      <w:pPr>
        <w:pStyle w:val="FirstParagraph"/>
      </w:pPr>
      <w:r>
        <w:rPr>
          <w:b/>
          <w:bCs/>
        </w:rPr>
        <w:t xml:space="preserve">Почему это может стать большим бизнесом:</w:t>
      </w:r>
      <w:r>
        <w:t xml:space="preserve"> </w:t>
      </w:r>
      <w:r>
        <w:t xml:space="preserve">потому что победитель в этой категории получает не выручку за модуль, а право быть верхним уровнем управления над агрономией, риском, финансированием и контрактованием.</w:t>
      </w:r>
    </w:p>
    <w:p>
      <w:pPr>
        <w:pStyle w:val="BodyText"/>
      </w:pPr>
      <w:r>
        <w:rPr>
          <w:b/>
          <w:bCs/>
        </w:rPr>
        <w:t xml:space="preserve">Почему это сложно:</w:t>
      </w:r>
      <w:r>
        <w:t xml:space="preserve"> </w:t>
      </w:r>
      <w:r>
        <w:t xml:space="preserve">потому что RAI должен одновременно быть:</w:t>
      </w:r>
    </w:p>
    <w:p>
      <w:pPr>
        <w:pStyle w:val="Compact"/>
        <w:numPr>
          <w:ilvl w:val="0"/>
          <w:numId w:val="1020"/>
        </w:numPr>
      </w:pPr>
      <w:r>
        <w:t xml:space="preserve">технологически интегрируемым,</w:t>
      </w:r>
    </w:p>
    <w:p>
      <w:pPr>
        <w:pStyle w:val="Compact"/>
        <w:numPr>
          <w:ilvl w:val="0"/>
          <w:numId w:val="1020"/>
        </w:numPr>
      </w:pPr>
      <w:r>
        <w:t xml:space="preserve">операционно жёстким,</w:t>
      </w:r>
    </w:p>
    <w:p>
      <w:pPr>
        <w:pStyle w:val="Compact"/>
        <w:numPr>
          <w:ilvl w:val="0"/>
          <w:numId w:val="1020"/>
        </w:numPr>
      </w:pPr>
      <w:r>
        <w:t xml:space="preserve">юридически формализованным,</w:t>
      </w:r>
    </w:p>
    <w:p>
      <w:pPr>
        <w:pStyle w:val="Compact"/>
        <w:numPr>
          <w:ilvl w:val="0"/>
          <w:numId w:val="1020"/>
        </w:numPr>
      </w:pPr>
      <w:r>
        <w:t xml:space="preserve">экономически убедительным.</w:t>
      </w:r>
    </w:p>
    <w:p>
      <w:r>
        <w:pict>
          <v:rect style="width:0;height:1.5pt" o:hralign="center" o:hrstd="t" o:hr="t"/>
        </w:pict>
      </w:r>
    </w:p>
    <w:bookmarkEnd w:id="56"/>
    <w:bookmarkStart w:id="57" w:name="решение-для-стратегии-компании"/>
    <w:p>
      <w:pPr>
        <w:pStyle w:val="Heading2"/>
      </w:pPr>
      <w:r>
        <w:t xml:space="preserve">10. Решение для стратегии компании</w:t>
      </w:r>
    </w:p>
    <w:p>
      <w:pPr>
        <w:pStyle w:val="FirstParagraph"/>
      </w:pPr>
      <w:r>
        <w:t xml:space="preserve">На основании этого memo стратегия RAI должна быть такой: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Позиционирование:</w:t>
      </w:r>
      <w:r>
        <w:t xml:space="preserve"> </w:t>
      </w:r>
      <w:r>
        <w:t xml:space="preserve">только как</w:t>
      </w:r>
      <w:r>
        <w:t xml:space="preserve"> </w:t>
      </w:r>
      <w:r>
        <w:rPr>
          <w:b/>
          <w:bCs/>
        </w:rPr>
        <w:t xml:space="preserve">оператор урожая и прибыли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Продуктовая рамка:</w:t>
      </w:r>
      <w:r>
        <w:t xml:space="preserve"> </w:t>
      </w:r>
      <w:r>
        <w:t xml:space="preserve">TechMap = контракт + исполнение + экономика + риск.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Архитектура рынка:</w:t>
      </w:r>
      <w:r>
        <w:t xml:space="preserve"> </w:t>
      </w:r>
      <w:r>
        <w:t xml:space="preserve">не конкурировать с ERP и AgTech</w:t>
      </w:r>
      <w:r>
        <w:t xml:space="preserve"> </w:t>
      </w:r>
      <w:r>
        <w:t xml:space="preserve">“</w:t>
      </w:r>
      <w:r>
        <w:t xml:space="preserve">в лоб</w:t>
      </w:r>
      <w:r>
        <w:t xml:space="preserve">”</w:t>
      </w:r>
      <w:r>
        <w:t xml:space="preserve">, а становиться надстройкой над ними.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Первый GTM:</w:t>
      </w:r>
      <w:r>
        <w:t xml:space="preserve"> </w:t>
      </w:r>
      <w:r>
        <w:t xml:space="preserve">средние и крупные хозяйства с уже существующим цифровым стеком, кредитным плечом и высокой ценой ошибки.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Moat:</w:t>
      </w:r>
      <w:r>
        <w:t xml:space="preserve"> </w:t>
      </w:r>
      <w:r>
        <w:t xml:space="preserve">стандарт TechMap, методика измерения эффекта, партнёрства с банками/страховыми/контракторами, слой доверия между участниками сезона.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Главный anti-thesis:</w:t>
      </w:r>
      <w:r>
        <w:t xml:space="preserve"> </w:t>
      </w:r>
      <w:r>
        <w:t xml:space="preserve">не скатиться в</w:t>
      </w:r>
      <w:r>
        <w:t xml:space="preserve"> </w:t>
      </w:r>
      <w:r>
        <w:t xml:space="preserve">“</w:t>
      </w:r>
      <w:r>
        <w:t xml:space="preserve">ещё один консалтинг</w:t>
      </w:r>
      <w:r>
        <w:t xml:space="preserve">”</w:t>
      </w:r>
      <w:r>
        <w:t xml:space="preserve"> </w:t>
      </w:r>
      <w:r>
        <w:t xml:space="preserve">и не раствориться в</w:t>
      </w:r>
      <w:r>
        <w:t xml:space="preserve"> </w:t>
      </w:r>
      <w:r>
        <w:t xml:space="preserve">“</w:t>
      </w:r>
      <w:r>
        <w:t xml:space="preserve">ещё одном SaaS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Следующее логичное действие —</w:t>
      </w:r>
      <w:r>
        <w:t xml:space="preserve"> </w:t>
      </w:r>
      <w:r>
        <w:rPr>
          <w:b/>
          <w:bCs/>
        </w:rPr>
        <w:t xml:space="preserve">собрать investor one-pager на 1 страницу с блоками: Problem / Solution / Why now / Moat / GTM / Risks / Ask</w:t>
      </w:r>
      <w:r>
        <w:t xml:space="preserve">. Это сразу переведёт длинную стратегию в формат для первого разговора с инвестором и резко усилит качество питча.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2026-03-10T20:03:16Z</dcterms:created>
  <dcterms:modified xsi:type="dcterms:W3CDTF">2026-03-10T20:03:16Z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