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6hnyvm1mz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TaskFlow Orchestrator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gwmplcn3h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Критерии приемки проекта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hzx03ctk2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Бизнес-критерии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может зарегистрироваться и войти в систему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может создать проект и добавить участников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может создать задачу и назначить исполнителя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Исполнитель получает уведомление о назначении задачи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Исполнитель может изменить статус задачи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может просмотреть статистику по задачам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Администратор может просмотреть журнал аудита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79tos8gt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Технические критерии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сервисы запускаются через docker-compose одной командой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сервисы развертываются в Kubernetes с HPA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Сквозная трассировка работает для всех типов коммуникации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Метрики доступны в Prometheus, дашборды в Grafana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Outbox pattern гарантирует доставку при отказе RabbitMQ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 предотвращает каскадные отказы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секреты хранятся в Kubernetes Secrets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Покрытие unit-тестами не менее 70% для Application слоя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Интеграционные тесты проходят в CI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l09qlvuq3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Документационные критерии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README содержит инструкции по запуску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Архитектурная диаграмма отражает реальную структуру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 доступен через Gateway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задокументированы для всех ключевых решений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manifests задокументированы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