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6hnyvm1mz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TaskFlow Orchestrator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20xo6tu64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Архитектурные требования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793.1937057009841"/>
        <w:gridCol w:w="4454.087732013219"/>
        <w:gridCol w:w="3778.230373309421"/>
        <w:tblGridChange w:id="0">
          <w:tblGrid>
            <w:gridCol w:w="793.1937057009841"/>
            <w:gridCol w:w="4454.087732013219"/>
            <w:gridCol w:w="3778.230373309421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должна быть построена на микросервисной архитектуре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Обеспечение независимости разработки, масштабирования и развертывания компонентов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Каждый микросервис должен иметь собственную базу данных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Обеспечение слабой связанности и независимости эволюции сервисов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Взаимодействие между сервисами должно осуществляться синхронно через gRPC и асинхронно через RabbitMQ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Оптимизация под разные сценарии: синхронные проверки и асинхронные уведомления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Единой точкой входа для внешних клиентов должен быть API Gateway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Централизация безопасности, маршрутизации, rate limiting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Все сервисы должны быть контейнеризированы с использованием Docker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Обеспечение единообразия сред разработки, тестирования и эксплуатации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Оркестрация контейнеров должна осуществляться с использованием Kubernetes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Обеспечение автоматического масштабирования, восстановления, service discovery</w:t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epykhecnl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Технологический стек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2578.0588157190623"/>
        <w:gridCol w:w="2038.4651101034447"/>
        <w:gridCol w:w="1222.1566836593051"/>
        <w:gridCol w:w="3186.8312015418105"/>
        <w:tblGridChange w:id="0">
          <w:tblGrid>
            <w:gridCol w:w="2578.0588157190623"/>
            <w:gridCol w:w="2038.4651101034447"/>
            <w:gridCol w:w="1222.1566836593051"/>
            <w:gridCol w:w="3186.83120154181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Платформа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.NET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8.0 LTS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Стабильность, производительность, долгосрочная поддержка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Современные возможности, строгая типизация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База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15+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Надежность, производительность, поддержка JSON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Entity Framework Core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8.0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Продуктивность разработки, миграции, LINQ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Кэш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7+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Высокая производительность, поддержка структур данных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Брокер сообщений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RabbitMQ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3.12+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Надежность, поддержка очередей, dead letter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.NET gRPC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8.0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Высокая производительность, строгие контракты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YARP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2.0+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Интеграция с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ASP.NET</w:t>
              </w:r>
            </w:hyperlink>
            <w:r w:rsidDel="00000000" w:rsidR="00000000" w:rsidRPr="00000000">
              <w:rPr>
                <w:rtl w:val="0"/>
              </w:rPr>
              <w:t xml:space="preserve"> Core, производительность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Логирование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Serilog + Seq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5.0+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Структурированные логи, централизованный сбор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Трассировка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OpenTelemetry + Jaeger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1.5+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Стандарт де-факто, совместимость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Метрики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Prometheus + Grafana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2.45+ / 10.0+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Индустриальный стандарт мониторинга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Контейнеризация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24.0+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Индустриальный стандарт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Оркестрация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Kubernetes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1.28+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Индустриальный стандарт</w:t>
            </w:r>
          </w:p>
        </w:tc>
      </w:tr>
    </w:tbl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0057wo9lf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Инфраструктурные требования</w:t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793.1937057009841"/>
        <w:gridCol w:w="5158.10581399634"/>
        <w:gridCol w:w="3074.2122913262992"/>
        <w:tblGridChange w:id="0">
          <w:tblGrid>
            <w:gridCol w:w="793.1937057009841"/>
            <w:gridCol w:w="5158.10581399634"/>
            <w:gridCol w:w="3074.212291326299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Спецификация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Каждый микросервис должен иметь выделенный экземпляр PostgreSQL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 CPU, 2 GB RAM (минимально)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Redis должен работать в режиме с сохранением данных на диск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 CPU, 4 GB RAM (минимально)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RabbitMQ должен быть сконфигурирован как кластер (минимум 2 узла в production)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2 CPU, 4 GB RAM на узел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API Gateway должен быть развернут с минимум 2 репликами для отказоустойчивости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 CPU, 1 GB RAM на реплику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Каждый бизнес-сервис должен иметь минимум 2 реплики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0.5 CPU, 1 GB RAM на реплику (минимально)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должна поддерживать автоматическое горизонтальное масштабирование на основе нагрузки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HPA с метриками CPU (70% утилизации)</w:t>
            </w:r>
          </w:p>
        </w:tc>
      </w:tr>
    </w:tbl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tj7cnpfzw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Требования к надежности</w:t>
      </w:r>
    </w:p>
    <w:tbl>
      <w:tblPr>
        <w:tblStyle w:val="Table4"/>
        <w:tblW w:w="9025.511811023624" w:type="dxa"/>
        <w:jc w:val="left"/>
        <w:tblLayout w:type="fixed"/>
        <w:tblLook w:val="0600"/>
      </w:tblPr>
      <w:tblGrid>
        <w:gridCol w:w="793.1937057009841"/>
        <w:gridCol w:w="3651.507118552459"/>
        <w:gridCol w:w="4580.8109867701805"/>
        <w:tblGridChange w:id="0">
          <w:tblGrid>
            <w:gridCol w:w="793.1937057009841"/>
            <w:gridCol w:w="3651.507118552459"/>
            <w:gridCol w:w="4580.81098677018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Целевой показатель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Время восстановления после отказа (RTO)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Не более 15 минут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Целевая точка восстановления (RPO)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Не более 1 часа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Доступность системы (SLA)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99.5% в рабочее время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Максимальное время недоступности в месяц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Не более 3.5 часов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Восстановление после сбоя RabbitMQ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Автоматическое, не более 2 минут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Восстановление после сбоя Redis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Автоматическое, не более 1 минуты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Восстановление после сбоя PostgreSQL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Автоматическое переключение на реплику, не более 5 минут</w:t>
            </w:r>
          </w:p>
        </w:tc>
      </w:tr>
    </w:tbl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t9li9nunn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 Требования к безопасности</w:t>
      </w:r>
    </w:p>
    <w:tbl>
      <w:tblPr>
        <w:tblStyle w:val="Table5"/>
        <w:tblW w:w="9025.511811023624" w:type="dxa"/>
        <w:jc w:val="left"/>
        <w:tblLayout w:type="fixed"/>
        <w:tblLook w:val="0600"/>
      </w:tblPr>
      <w:tblGrid>
        <w:gridCol w:w="793.1937057009841"/>
        <w:gridCol w:w="4792.016411365117"/>
        <w:gridCol w:w="3440.3016939575223"/>
        <w:tblGridChange w:id="0">
          <w:tblGrid>
            <w:gridCol w:w="793.1937057009841"/>
            <w:gridCol w:w="4792.016411365117"/>
            <w:gridCol w:w="3440.301693957522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Реализация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Все коммуникации между клиентом и сервером должны шифроваться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TLS 1.3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Пароли пользователей не должны храниться в открытом виде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Хеширование BCrypt (work factor 12)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Аутентификация должна осуществляться с использованием JWT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Access token 15 минут, refresh token 7 дней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Доступ к внутренним сервисам должен быть ограничен сетью кластера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ClusterIP без публичных эндпоинтов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Все секреты (ключи, пароли) должны храниться в защищенном хранилище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Kubernetes Secrets, не в ConfigMaps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API должен иметь защиту от DDoS и brute force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Rate limiting (100 запросов/мин на пользователя)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должна фиксировать все неудачные попытки входа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Журнал аудита</w:t>
            </w:r>
          </w:p>
        </w:tc>
      </w:tr>
    </w:tbl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wdwbpbxhh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2.6. Требования к наблюдаемости</w:t>
      </w:r>
    </w:p>
    <w:tbl>
      <w:tblPr>
        <w:tblStyle w:val="Table6"/>
        <w:tblW w:w="9025.511811023624" w:type="dxa"/>
        <w:jc w:val="left"/>
        <w:tblLayout w:type="fixed"/>
        <w:tblLook w:val="0600"/>
      </w:tblPr>
      <w:tblGrid>
        <w:gridCol w:w="793.1937057009841"/>
        <w:gridCol w:w="4538.569901851193"/>
        <w:gridCol w:w="3693.7482034714462"/>
        <w:tblGridChange w:id="0">
          <w:tblGrid>
            <w:gridCol w:w="793.1937057009841"/>
            <w:gridCol w:w="4538.569901851193"/>
            <w:gridCol w:w="3693.748203471446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Реализация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Все сервисы должны логировать в структурированном формате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JSON логи, обогащенные service name, trace id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Логи должны централизованно собираться и быть доступны для поиска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Seq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должна обеспечивать распределенную трассировку запросов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OpenTelemetry, Jaeger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должна собирать метрики производительности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Prometheus: latency, throughput, error rate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Критические метрики должны отображаться на дашбордах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Grafana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Должны быть настроены алерты на критические события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Ошибки 5xx, недоступность сервисов, накопление dead letter</w:t>
            </w:r>
          </w:p>
        </w:tc>
      </w:tr>
    </w:tbl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h002n04r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2.7. Требования к тестированию</w:t>
      </w:r>
    </w:p>
    <w:tbl>
      <w:tblPr>
        <w:tblStyle w:val="Table7"/>
        <w:tblW w:w="9025.511811023624" w:type="dxa"/>
        <w:jc w:val="left"/>
        <w:tblLayout w:type="fixed"/>
        <w:tblLook w:val="0600"/>
      </w:tblPr>
      <w:tblGrid>
        <w:gridCol w:w="793.1937057009841"/>
        <w:gridCol w:w="4355.5252005355815"/>
        <w:gridCol w:w="3876.792904787058"/>
        <w:tblGridChange w:id="0">
          <w:tblGrid>
            <w:gridCol w:w="793.1937057009841"/>
            <w:gridCol w:w="4355.5252005355815"/>
            <w:gridCol w:w="3876.79290478705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Объем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Бизнес-логика должна быть покрыта unit-тестами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Минимум 70% coverage для Application слоя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Интеграция с базами данных должна тестироваться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Testcontainers для каждого сервиса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Сквозные сценарии должны быть покрыты интеграционными тестами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Ключевые happy path сценарии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Должны быть реализованы контрактные тесты для gRPC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обратной совместимости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Должно проводиться нагрузочное тестирование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целевых показателей производительности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sp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