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4df5f0b697c47c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line="600"/>
        <w:jc w:val="center"/>
      </w:pPr>
      <w:r>
        <w:rPr>
          <w:lang w:val="ru-RU"/>
          <w:b/>
        </w:rPr>
        <w:t>Основные изменения нормативно-правовых актов</w:t>
      </w:r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398b004927e84baa" w:history="1">
        <w:r>
          <w:rPr>
            <w:rStyle w:val="Hyperlink"/>
          </w:rPr>
          <w:t>Проект Постановления Правления Пенсионного фонда РФ "Об утверждении формы и формата сведений о трудовой деятельности зарегистрированного лица, а также порядка ее заполнения"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bd45ff4286b455e" w:history="1">
        <w:r>
          <w:rPr>
            <w:rStyle w:val="Hyperlink"/>
          </w:rPr>
          <w:t>&lt;Информация&gt; ФНС России "При продаже подаренного имущества платить НДФЛ дважды больше не придется"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a927e67add644285" w:history="1">
        <w:r>
          <w:rPr>
            <w:rStyle w:val="Hyperlink"/>
          </w:rPr>
          <w:t>&lt;Информация&gt; ФНС России "Завершился переход к исчислению налога на имущество физлиц исходя из кадастровой стоимости"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594d4e9f64ae42ba" w:history="1">
        <w:r>
          <w:rPr>
            <w:rStyle w:val="Hyperlink"/>
          </w:rPr>
          <w:t>Приказ Минстроя России от 31.10.2019 N 660/пр "Об утверждении норм материальных, технических и трудовых ресурсов, используемых для оказания государственных услуг в сфере жилищного хозяйства, благоустройства, градостроительной деятельности, в том числе технического регулирования в области градостроительной деятельности и промышленности строительных материалов (изделий) и строительных конструкций, строительства и архитектуры"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b5fa1fa692744f96" w:history="1">
        <w:r>
          <w:rPr>
            <w:rStyle w:val="Hyperlink"/>
          </w:rPr>
          <w:t>Приказ Минтранса России от 15.10.2019 N 339 "О внесении изменений в отдельные приказы Министерства транспорта Российской Федерации по вопросам оснащения тахографами транспортных средств, принадлежащих физическим лицам, и транспортных средств, осуществляющих регулярные перевозки пассажиров в городском, пригородном и междугородном сообщении"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4a72baeca9844414" w:history="1">
        <w:r>
          <w:rPr>
            <w:rStyle w:val="Hyperlink"/>
          </w:rPr>
          <w:t>Приказ Росгвардии от 26.09.2019 N 331 "Об утверждении Административного регламента Федеральной службы войск национальной гвардии Российской Федерации по предоставлению государственной услуги по выдаче юридическому лицу с особыми уставными задачами разрешения на хранение и ношение служебного оружия и патронов к нему"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e8239642da8c4ed0" w:history="1">
        <w:r>
          <w:rPr>
            <w:rStyle w:val="Hyperlink"/>
          </w:rPr>
          <w:t>Обзор: "Ошибки в справке о доходах госслужащего: практика и разъяснения"</w:t>
        </w:r>
      </w:hyperlink>
    </w:p>
    <w:p>
      <w:pPr>
        <w:numPr>
          <w:ilvl w:val="0"/>
          <w:numId w:val="1"/>
        </w:numPr>
        <w:jc w:val="both"/>
        <w:spacing w:after="360"/>
      </w:pPr>
      <w:r>
        <w:t/>
      </w:r>
      <w:hyperlink r:id="Rf55ecbe7de7d46dd" w:history="1">
        <w:r>
          <w:rPr>
            <w:rStyle w:val="Hyperlink"/>
          </w:rPr>
          <w:t>Обзор: "Учетная политика учреждения с 2020 года: что нужно учесть"</w:t>
        </w:r>
      </w:hyperlink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1A385B"/>
    <w:multiLevelType w:val="hybridMultilevel"/>
    <w:tmpl w:val="0409001D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."/>
      <w:lvlJc w:val="left"/>
      <w:pPr>
        <w:ind w:left="1080" w:hanging="360"/>
      </w:pPr>
    </w:lvl>
    <w:lvl w:ilvl="3">
      <w:start w:val="1"/>
      <w:numFmt w:val="decimal"/>
      <w:lvlText w:val="%4)"/>
      <w:lvlJc w:val="left"/>
      <w:pPr>
        <w:ind w:left="1440" w:hanging="360"/>
      </w:pPr>
    </w:lvl>
    <w:lvl w:ilvl="4">
      <w:start w:val="1"/>
      <w:numFmt w:val="lowerLetter"/>
      <w:lvlText w:val="%5)"/>
      <w:lvlJc w:val="left"/>
      <w:pPr>
        <w:ind w:left="1800" w:hanging="360"/>
      </w:pPr>
    </w:lvl>
    <w:lvl w:ilvl="5">
      <w:start w:val="1"/>
      <w:numFmt w:val="lowerRoman"/>
      <w:lvlText w:val="%6)"/>
      <w:lvlJc w:val="left"/>
      <w:pPr>
        <w:ind w:left="2160" w:hanging="360"/>
      </w:pPr>
    </w:lvl>
    <w:lvl w:ilvl="6">
      <w:start w:val="1"/>
      <w:numFmt w:val="decimal"/>
      <w:lvlText w:val="(%7)"/>
      <w:lvlJc w:val="left"/>
      <w:pPr>
        <w:ind w:left="2520" w:hanging="360"/>
      </w:pPr>
    </w:lvl>
    <w:lvl w:ilvl="7">
      <w:start w:val="1"/>
      <w:numFmt w:val="lowerLetter"/>
      <w:lvlText w:val="(%8)"/>
      <w:lvlJc w:val="left"/>
      <w:pPr>
        <w:ind w:left="2880" w:hanging="360"/>
      </w:pPr>
    </w:lvl>
    <w:lvl w:ilvl="8">
      <w:start w:val="1"/>
      <w:numFmt w:val="lowerRoman"/>
      <w:lvlText w:val="(%9)"/>
      <w:lvlJc w:val="left"/>
      <w:pPr>
        <w:ind w:left="324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cs="Times New Roman" w:eastAsia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fc2a121bd9745e1" /><Relationship Type="http://schemas.openxmlformats.org/officeDocument/2006/relationships/numbering" Target="/word/numbering.xml" Id="R1dc0e91982514c4a" /><Relationship Type="http://schemas.openxmlformats.org/officeDocument/2006/relationships/settings" Target="/word/settings.xml" Id="R33b7ae70f3b74bbc" /><Relationship Type="http://schemas.openxmlformats.org/officeDocument/2006/relationships/hyperlink" Target="http://static.consultant.ru/obj/file/doc/pf_061219.rtf" TargetMode="External" Id="R398b004927e84baa" /><Relationship Type="http://schemas.openxmlformats.org/officeDocument/2006/relationships/hyperlink" Target="http://www.consultant.ru/document/cons_doc_LAW_339523/" TargetMode="External" Id="R4bd45ff4286b455e" /><Relationship Type="http://schemas.openxmlformats.org/officeDocument/2006/relationships/hyperlink" Target="http://www.consultant.ru/document/cons_doc_LAW_339522/" TargetMode="External" Id="Ra927e67add644285" /><Relationship Type="http://schemas.openxmlformats.org/officeDocument/2006/relationships/hyperlink" Target="http://www.consultant.ru/document/cons_doc_LAW_339531/" TargetMode="External" Id="R594d4e9f64ae42ba" /><Relationship Type="http://schemas.openxmlformats.org/officeDocument/2006/relationships/hyperlink" Target="http://www.consultant.ru/document/cons_doc_LAW_339477/" TargetMode="External" Id="Rb5fa1fa692744f96" /><Relationship Type="http://schemas.openxmlformats.org/officeDocument/2006/relationships/hyperlink" Target="http://www.consultant.ru/document/cons_doc_LAW_339468/" TargetMode="External" Id="R4a72baeca9844414" /><Relationship Type="http://schemas.openxmlformats.org/officeDocument/2006/relationships/hyperlink" Target="http://www.consultant.ru/document/cons_doc_LAW_339517/" TargetMode="External" Id="Re8239642da8c4ed0" /><Relationship Type="http://schemas.openxmlformats.org/officeDocument/2006/relationships/hyperlink" Target="http://www.consultant.ru/document/cons_doc_LAW_339513/" TargetMode="External" Id="Rf55ecbe7de7d46dd" /></Relationships>
</file>