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02005">
      <w:pPr>
        <w:widowControl w:val="0"/>
        <w:spacing w:line="276" w:lineRule="auto"/>
        <w:rPr>
          <w:rFonts w:ascii="PT Serif" w:hAnsi="PT Serif" w:eastAsia="PT Serif" w:cs="PT Serif"/>
          <w:sz w:val="2"/>
          <w:szCs w:val="2"/>
        </w:rPr>
      </w:pPr>
    </w:p>
    <w:tbl>
      <w:tblPr>
        <w:tblStyle w:val="13"/>
        <w:tblpPr w:leftFromText="180" w:rightFromText="180" w:topFromText="180" w:bottomFromText="180" w:vertAnchor="text" w:tblpX="544"/>
        <w:tblW w:w="9525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35"/>
        <w:gridCol w:w="4290"/>
      </w:tblGrid>
      <w:tr w14:paraId="2AD12F79">
        <w:trPr>
          <w:trHeight w:val="1097" w:hRule="atLeast"/>
        </w:trPr>
        <w:tc>
          <w:tcPr>
            <w:tcW w:w="523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632B9">
            <w:pPr>
              <w:spacing w:line="276" w:lineRule="auto"/>
              <w:rPr>
                <w:b/>
                <w:highlight w:val="green"/>
              </w:rPr>
            </w:pPr>
            <w:r>
              <w:rPr>
                <w:b/>
              </w:rPr>
              <w:t>Договор возмездного оказания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услуг («Договор»)</w:t>
            </w:r>
            <w:r>
              <w:rPr>
                <w:b/>
              </w:rPr>
              <w:br w:type="textWrapping"/>
            </w:r>
            <w:r>
              <w:rPr>
                <w:b/>
              </w:rPr>
              <w:t xml:space="preserve">№ </w:t>
            </w:r>
            <w:r>
              <w:rPr>
                <w:b/>
                <w:highlight w:val="green"/>
              </w:rPr>
              <w:t>Д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{{num_doc}}</w:t>
            </w: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 </w:t>
            </w:r>
          </w:p>
        </w:tc>
        <w:tc>
          <w:tcPr>
            <w:tcW w:w="429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F3D7D">
            <w:pPr>
              <w:spacing w:after="240" w:line="276" w:lineRule="auto"/>
              <w:rPr>
                <w:sz w:val="20"/>
                <w:szCs w:val="20"/>
              </w:rPr>
            </w:pPr>
            <w:r>
              <w:rPr>
                <w:rFonts w:hint="default"/>
                <w:b/>
                <w:sz w:val="22"/>
                <w:szCs w:val="22"/>
                <w:highlight w:val="green"/>
                <w:lang w:val="en-US"/>
              </w:rPr>
              <w:t xml:space="preserve">{{date}} </w:t>
            </w:r>
            <w:r>
              <w:rPr>
                <w:b/>
                <w:sz w:val="22"/>
                <w:szCs w:val="22"/>
                <w:highlight w:val="green"/>
              </w:rPr>
              <w:t>г.</w:t>
            </w:r>
          </w:p>
        </w:tc>
      </w:tr>
      <w:tr w14:paraId="111C7128">
        <w:trPr>
          <w:trHeight w:val="855" w:hRule="atLeast"/>
        </w:trPr>
        <w:tc>
          <w:tcPr>
            <w:tcW w:w="523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A5C14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[1] ИП Омелаенко Роман Станиславович</w:t>
            </w:r>
            <w:r>
              <w:rPr>
                <w:b/>
                <w:sz w:val="22"/>
                <w:szCs w:val="22"/>
              </w:rPr>
              <w:br w:type="textWrapping"/>
            </w:r>
            <w:r>
              <w:rPr>
                <w:sz w:val="22"/>
                <w:szCs w:val="22"/>
              </w:rPr>
              <w:t xml:space="preserve">(“ </w:t>
            </w:r>
            <w:r>
              <w:rPr>
                <w:b/>
                <w:sz w:val="22"/>
                <w:szCs w:val="22"/>
              </w:rPr>
              <w:t>Исполнитель</w:t>
            </w:r>
            <w:r>
              <w:rPr>
                <w:sz w:val="22"/>
                <w:szCs w:val="22"/>
              </w:rPr>
              <w:t>”)</w:t>
            </w:r>
          </w:p>
        </w:tc>
        <w:tc>
          <w:tcPr>
            <w:tcW w:w="429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3792C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green"/>
              </w:rPr>
              <w:t>[2]{{</w:t>
            </w:r>
            <w:r>
              <w:rPr>
                <w:rFonts w:hint="default"/>
                <w:sz w:val="22"/>
                <w:szCs w:val="22"/>
                <w:highlight w:val="green"/>
                <w:lang w:val="en-US"/>
              </w:rPr>
              <w:t>fio</w:t>
            </w:r>
            <w:r>
              <w:rPr>
                <w:sz w:val="22"/>
                <w:szCs w:val="22"/>
                <w:highlight w:val="green"/>
              </w:rPr>
              <w:t>}}</w:t>
            </w:r>
            <w:r>
              <w:rPr>
                <w:b/>
                <w:sz w:val="22"/>
                <w:szCs w:val="22"/>
              </w:rPr>
              <w:br w:type="textWrapping"/>
            </w:r>
            <w:r>
              <w:rPr>
                <w:sz w:val="22"/>
                <w:szCs w:val="22"/>
              </w:rPr>
              <w:t>(“</w:t>
            </w:r>
            <w:r>
              <w:rPr>
                <w:b/>
                <w:sz w:val="22"/>
                <w:szCs w:val="22"/>
              </w:rPr>
              <w:t>Заказчик</w:t>
            </w:r>
            <w:r>
              <w:rPr>
                <w:sz w:val="22"/>
                <w:szCs w:val="22"/>
              </w:rPr>
              <w:t>”)</w:t>
            </w:r>
          </w:p>
        </w:tc>
      </w:tr>
    </w:tbl>
    <w:p w14:paraId="7B3931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567"/>
        <w:rPr>
          <w:sz w:val="22"/>
          <w:szCs w:val="22"/>
        </w:rPr>
      </w:pPr>
      <w:r>
        <w:rPr>
          <w:sz w:val="22"/>
          <w:szCs w:val="22"/>
        </w:rPr>
        <w:t>совместно именуемые “</w:t>
      </w:r>
      <w:r>
        <w:rPr>
          <w:b/>
          <w:sz w:val="22"/>
          <w:szCs w:val="22"/>
        </w:rPr>
        <w:t>Стороны</w:t>
      </w:r>
      <w:r>
        <w:rPr>
          <w:sz w:val="22"/>
          <w:szCs w:val="22"/>
        </w:rPr>
        <w:t>”, заключили Договор о нижеследующем:</w:t>
      </w:r>
    </w:p>
    <w:p w14:paraId="4321AB4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160" w:line="276" w:lineRule="auto"/>
      </w:pPr>
      <w:r>
        <w:rPr>
          <w:b/>
          <w:sz w:val="22"/>
          <w:szCs w:val="22"/>
        </w:rPr>
        <w:t>Предмет Договора.</w:t>
      </w:r>
    </w:p>
    <w:p w14:paraId="071CE03A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  <w:jc w:val="both"/>
      </w:pPr>
      <w:bookmarkStart w:id="0" w:name="_gjdgxs" w:colFirst="0" w:colLast="0"/>
      <w:bookmarkEnd w:id="0"/>
      <w:r>
        <w:rPr>
          <w:sz w:val="22"/>
          <w:szCs w:val="22"/>
        </w:rPr>
        <w:t>Исполнитель обязуется оказать Заказчику информационно-консультационные услуги, Заказчик, в свою очередь, обязуется оплатить оказываемые услуги.</w:t>
      </w:r>
    </w:p>
    <w:p w14:paraId="12BF82FE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  <w:jc w:val="both"/>
        <w:rPr>
          <w:rFonts w:ascii="PT Serif" w:hAnsi="PT Serif" w:eastAsia="PT Serif" w:cs="PT Serif"/>
          <w:sz w:val="22"/>
          <w:szCs w:val="22"/>
        </w:rPr>
      </w:pPr>
      <w:bookmarkStart w:id="1" w:name="_74jfwi5b72i3" w:colFirst="0" w:colLast="0"/>
      <w:bookmarkEnd w:id="1"/>
      <w:r>
        <w:rPr>
          <w:sz w:val="22"/>
          <w:szCs w:val="22"/>
        </w:rPr>
        <w:t>Согласованное Сторонами содержание оказываемых исполнителем услуг определяются Приложением № 1 к Договору (“</w:t>
      </w:r>
      <w:r>
        <w:rPr>
          <w:b/>
          <w:sz w:val="22"/>
          <w:szCs w:val="22"/>
        </w:rPr>
        <w:t>Пакетное предложение Исполнителя</w:t>
      </w:r>
      <w:r>
        <w:rPr>
          <w:sz w:val="22"/>
          <w:szCs w:val="22"/>
        </w:rPr>
        <w:t>”).</w:t>
      </w:r>
    </w:p>
    <w:p w14:paraId="6A5EA97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00" w:after="160" w:line="276" w:lineRule="auto"/>
      </w:pPr>
      <w:r>
        <w:rPr>
          <w:b/>
          <w:sz w:val="22"/>
          <w:szCs w:val="22"/>
        </w:rPr>
        <w:t>Порядок оказания услуг.</w:t>
      </w:r>
    </w:p>
    <w:p w14:paraId="5F9C1E29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  <w:rPr>
          <w:sz w:val="22"/>
          <w:szCs w:val="22"/>
        </w:rPr>
      </w:pPr>
      <w:r>
        <w:rPr>
          <w:sz w:val="22"/>
          <w:szCs w:val="22"/>
        </w:rPr>
        <w:t>Исполнитель вправе привлекать третьих лиц к исполнению Договора.</w:t>
      </w:r>
    </w:p>
    <w:p w14:paraId="413B30BB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  <w:rPr>
          <w:sz w:val="22"/>
          <w:szCs w:val="22"/>
        </w:rPr>
      </w:pPr>
      <w:r>
        <w:rPr>
          <w:sz w:val="22"/>
          <w:szCs w:val="22"/>
        </w:rPr>
        <w:t>Заказчик вправе контролировать оказание Исполнителем услуг по Договору, не вмешиваясь при этом в его деятельность.</w:t>
      </w:r>
    </w:p>
    <w:p w14:paraId="605D7DBD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  <w:rPr>
          <w:sz w:val="22"/>
          <w:szCs w:val="22"/>
        </w:rPr>
      </w:pPr>
      <w:r>
        <w:rPr>
          <w:sz w:val="22"/>
          <w:szCs w:val="22"/>
        </w:rPr>
        <w:t>Заказчик контролирует оказание услуг путем направления Исполнителю запросов о сообщении Исполнителем информации о ходе оказания услуг посредством средств мгновенного обмена электронными сообщениями.</w:t>
      </w:r>
    </w:p>
    <w:p w14:paraId="3DCD1B95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  <w:rPr>
          <w:sz w:val="22"/>
          <w:szCs w:val="22"/>
        </w:rPr>
      </w:pPr>
      <w:r>
        <w:rPr>
          <w:sz w:val="22"/>
          <w:szCs w:val="22"/>
        </w:rPr>
        <w:t>Заказчик вправе запрашивать у Исполнителя разъяснения по вопросам, возникающим в ходе оказания услуг и иную информацию, необходимую для исполнения обязательств Сторон по Договору.</w:t>
      </w:r>
    </w:p>
    <w:p w14:paraId="13AF57C2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  <w:rPr>
          <w:sz w:val="22"/>
          <w:szCs w:val="22"/>
        </w:rPr>
      </w:pPr>
      <w:r>
        <w:rPr>
          <w:sz w:val="22"/>
          <w:szCs w:val="22"/>
        </w:rPr>
        <w:t>Исполнитель вправе запрашивать у Заказчика любую информацию, необходимую для реализации услуг Исполнителем, а Заказчик обязан содействовать Исполнителю при оказании им услуг, в частности, предоставлять Исполнителю любую информацию, необходимую для реализации услуг Исполнителем.</w:t>
      </w:r>
    </w:p>
    <w:p w14:paraId="617F2CC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276" w:lineRule="auto"/>
      </w:pPr>
      <w:r>
        <w:rPr>
          <w:b/>
          <w:sz w:val="22"/>
          <w:szCs w:val="22"/>
        </w:rPr>
        <w:t>Цена и расчеты по Договору.</w:t>
      </w:r>
    </w:p>
    <w:p w14:paraId="1CBF0EE2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276" w:lineRule="auto"/>
        <w:ind w:left="567" w:hanging="567"/>
      </w:pPr>
      <w:r>
        <w:rPr>
          <w:sz w:val="22"/>
          <w:szCs w:val="22"/>
        </w:rPr>
        <w:t>Цена оказываемых услуг составляет:</w:t>
      </w:r>
    </w:p>
    <w:p w14:paraId="45AA6A63">
      <w:pPr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276" w:lineRule="auto"/>
      </w:pPr>
      <w:r>
        <w:rPr>
          <w:sz w:val="22"/>
          <w:szCs w:val="22"/>
        </w:rPr>
        <w:t>Авансовый платеж –</w:t>
      </w:r>
      <w:r>
        <w:rPr>
          <w:b/>
          <w:sz w:val="22"/>
          <w:szCs w:val="22"/>
          <w:highlight w:val="green"/>
        </w:rPr>
        <w:t xml:space="preserve"> </w:t>
      </w:r>
      <w:r>
        <w:rPr>
          <w:b/>
          <w:bCs/>
          <w:sz w:val="24"/>
          <w:szCs w:val="24"/>
          <w:shd w:val="clear" w:color="auto" w:fill="00FF00"/>
          <w:rtl w:val="0"/>
          <w:lang w:val="en-US"/>
        </w:rPr>
        <w:t>{{sum_num}}</w:t>
      </w:r>
      <w:r>
        <w:rPr>
          <w:b/>
          <w:bCs/>
          <w:sz w:val="24"/>
          <w:szCs w:val="24"/>
          <w:shd w:val="clear" w:color="auto" w:fill="00FF00"/>
          <w:rtl w:val="0"/>
          <w:lang w:val="ru-RU"/>
        </w:rPr>
        <w:t xml:space="preserve"> (</w:t>
      </w:r>
      <w:r>
        <w:rPr>
          <w:b/>
          <w:bCs/>
          <w:sz w:val="24"/>
          <w:szCs w:val="24"/>
          <w:shd w:val="clear" w:color="auto" w:fill="00FF00"/>
          <w:rtl w:val="0"/>
          <w:lang w:val="en-US"/>
        </w:rPr>
        <w:t>{{sum_word}}</w:t>
      </w:r>
      <w:r>
        <w:rPr>
          <w:b/>
          <w:bCs/>
          <w:sz w:val="24"/>
          <w:szCs w:val="24"/>
          <w:shd w:val="clear" w:color="auto" w:fill="00FF00"/>
          <w:rtl w:val="0"/>
          <w:lang w:val="ru-RU"/>
        </w:rPr>
        <w:t>)</w:t>
      </w:r>
      <w:r>
        <w:rPr>
          <w:b/>
          <w:bCs/>
          <w:sz w:val="22"/>
          <w:szCs w:val="22"/>
          <w:shd w:val="clear" w:color="auto" w:fill="00FF00"/>
          <w:rtl w:val="0"/>
          <w:lang w:val="ru-RU"/>
        </w:rPr>
        <w:t xml:space="preserve"> </w:t>
      </w:r>
      <w:r>
        <w:rPr>
          <w:b/>
          <w:sz w:val="22"/>
          <w:szCs w:val="22"/>
          <w:highlight w:val="green"/>
        </w:rPr>
        <w:t>рублей;.</w:t>
      </w:r>
    </w:p>
    <w:p w14:paraId="109AD1B3">
      <w:pPr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276" w:lineRule="auto"/>
        <w:rPr>
          <w:sz w:val="22"/>
          <w:szCs w:val="22"/>
        </w:rPr>
      </w:pPr>
      <w:r>
        <w:rPr>
          <w:sz w:val="22"/>
          <w:szCs w:val="22"/>
        </w:rPr>
        <w:t>Остаточный платеж осуществляется в размере, эквивалентном 50% суммы, предложенной Заказчику в принятом им предложении о трудоустройстве, после удержания налогов и иных обязательных отчислений. Указанный платеж взимается однократно, и может быть разделен, согласно п. 3.4 настоящего Договора.</w:t>
      </w:r>
    </w:p>
    <w:p w14:paraId="49C1D059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276" w:lineRule="auto"/>
        <w:ind w:left="567" w:hanging="567"/>
        <w:rPr>
          <w:rFonts w:ascii="PT Serif" w:hAnsi="PT Serif" w:eastAsia="PT Serif" w:cs="PT Serif"/>
          <w:sz w:val="22"/>
          <w:szCs w:val="22"/>
          <w:highlight w:val="green"/>
        </w:rPr>
      </w:pPr>
      <w:r>
        <w:t>Цена услуг Исполнителя не включает в себя НДС в силу применения упрощенной системы налогообложения.</w:t>
      </w:r>
    </w:p>
    <w:p w14:paraId="2E9D9BDD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276" w:lineRule="auto"/>
        <w:ind w:left="567" w:hanging="567"/>
        <w:rPr>
          <w:rFonts w:ascii="PT Serif" w:hAnsi="PT Serif" w:eastAsia="PT Serif" w:cs="PT Serif"/>
          <w:sz w:val="22"/>
          <w:szCs w:val="22"/>
          <w:highlight w:val="green"/>
        </w:rPr>
      </w:pPr>
      <w:r>
        <w:rPr>
          <w:rFonts w:ascii="PT Serif" w:hAnsi="PT Serif"/>
          <w:sz w:val="22"/>
          <w:szCs w:val="22"/>
          <w:rtl w:val="0"/>
          <w:lang w:val="en-US"/>
        </w:rPr>
        <w:t>{{</w:t>
      </w:r>
      <w:r>
        <w:rPr>
          <w:rFonts w:ascii="Times New Roman" w:hAnsi="Times New Roman"/>
          <w:i/>
          <w:iCs/>
          <w:sz w:val="22"/>
          <w:szCs w:val="22"/>
          <w:shd w:val="clear" w:color="auto" w:fill="00FF00"/>
          <w:rtl w:val="0"/>
          <w:lang w:val="en-US"/>
        </w:rPr>
        <w:t>payment_terms}}</w:t>
      </w:r>
      <w:r>
        <w:rPr>
          <w:sz w:val="22"/>
          <w:szCs w:val="22"/>
          <w:highlight w:val="green"/>
        </w:rPr>
        <w:br w:type="textWrapping"/>
      </w:r>
    </w:p>
    <w:p w14:paraId="763CA063">
      <w:pPr>
        <w:numPr>
          <w:ilvl w:val="1"/>
          <w:numId w:val="1"/>
        </w:numPr>
        <w:spacing w:line="276" w:lineRule="auto"/>
        <w:ind w:left="566" w:hanging="566"/>
      </w:pPr>
      <w:r>
        <w:rPr>
          <w:sz w:val="22"/>
          <w:szCs w:val="22"/>
        </w:rPr>
        <w:t>Оставшуюся часть услуг Заказчик оплачивает в течение двух месяцев со дня трудоустройства по результатам предложения о трудоустройстве в следующем порядке:</w:t>
      </w:r>
    </w:p>
    <w:p w14:paraId="7DC7E9D9">
      <w:pPr>
        <w:numPr>
          <w:ilvl w:val="0"/>
          <w:numId w:val="2"/>
        </w:numPr>
        <w:bidi w:val="0"/>
        <w:spacing w:after="200" w:line="276" w:lineRule="auto"/>
        <w:ind w:right="0"/>
        <w:jc w:val="left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 xml:space="preserve">{{comission}} </w:t>
      </w:r>
    </w:p>
    <w:p w14:paraId="598DD67C">
      <w:pPr>
        <w:spacing w:after="20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При этом, если дата трудоустройства приходится на последние 12 (двенадцать) календарных дней месяца, первый платеж производится не в этом месяце, а в последний календарный день следующего месяца. Второй платеж переносится соответственно на месяц позже.</w:t>
      </w:r>
    </w:p>
    <w:p w14:paraId="2AC7F1B9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276" w:lineRule="auto"/>
        <w:ind w:left="567" w:hanging="567"/>
      </w:pPr>
      <w:r>
        <w:rPr>
          <w:sz w:val="22"/>
          <w:szCs w:val="22"/>
        </w:rPr>
        <w:t>Заказчик оплачивает цену оказываемых услуг путем перевода денежных средств на расчетный счет Исполнителя по реквизитам, указанным в Договоре, или иным согласованным реквизитам, в том числе с использованием системы быстрых платежей.</w:t>
      </w:r>
    </w:p>
    <w:p w14:paraId="789024BF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</w:pPr>
      <w:r>
        <w:rPr>
          <w:sz w:val="22"/>
          <w:szCs w:val="22"/>
        </w:rPr>
        <w:t>Обязательство Заказчика по оплате считается исполненным в момент поступления денежных средств на корреспондентский счет банка Исполнителя.</w:t>
      </w:r>
    </w:p>
    <w:p w14:paraId="0282531D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</w:pPr>
      <w:r>
        <w:rPr>
          <w:sz w:val="22"/>
          <w:szCs w:val="22"/>
        </w:rPr>
        <w:t>В случае, когда работодатель Заказчика расторгает с ним трудовой договор в течение испытательного срока не по вине Заказчика, он вправе приостановить исполнение обязанности по оплате услуг по Договору до момента повторного трудоустройства.</w:t>
      </w:r>
    </w:p>
    <w:p w14:paraId="09F1FBFB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  <w:rPr>
          <w:sz w:val="22"/>
          <w:szCs w:val="22"/>
        </w:rPr>
      </w:pPr>
      <w:r>
        <w:rPr>
          <w:sz w:val="22"/>
          <w:szCs w:val="22"/>
        </w:rPr>
        <w:t>В случае повторного трудоустройства Заказчика цена договора в части остаточного платежа, предусмотренного п. 3.1.2. Договора обновляется в соответствии с новым предложением о трудоустройстве, но не в меньшую сторону.</w:t>
      </w:r>
    </w:p>
    <w:p w14:paraId="07196E1D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</w:pPr>
      <w:r>
        <w:rPr>
          <w:sz w:val="22"/>
          <w:szCs w:val="22"/>
        </w:rPr>
        <w:t>Если невозможность исполнения возникла по обстоятельствам, за которые ни одна из Сторон не отвечает, Заказчик возмещает Исполнителю фактически понесенные им расходы.</w:t>
      </w:r>
    </w:p>
    <w:p w14:paraId="066727D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160" w:line="276" w:lineRule="auto"/>
      </w:pPr>
      <w:r>
        <w:rPr>
          <w:b/>
          <w:sz w:val="22"/>
          <w:szCs w:val="22"/>
        </w:rPr>
        <w:t>Сдача-приемка оказываемых услуг.</w:t>
      </w:r>
    </w:p>
    <w:p w14:paraId="511AA177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Приемка оказанных услуг осуществляется на основании Акта оказанных услуг, который Исполнитель выставляет Заказчику в течение трех рабочих дней с момента окончания оказания услуг по Договору.</w:t>
      </w:r>
    </w:p>
    <w:p w14:paraId="06CC7394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Заказчик производит приемку в течение 3 (трех) рабочих дней с момента окончания оказания услуг.</w:t>
      </w:r>
    </w:p>
    <w:p w14:paraId="58DB490E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При наличии мотивированных претензий к качеству и содержанию оказанных услуг, Заказчик составляет и передает Исполнителю претензию. Под мотивированными претензиями понимаются претензии, соответствующие Пакетному предложению Исполнителя, установленному Приложением №1, согласно которому оказывались принимаемые услуги.</w:t>
      </w:r>
    </w:p>
    <w:p w14:paraId="4B39ADDA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Исполнитель исправляет допущенные им недостатки, указанные Заказчиком в Претензии. При этом Исполнитель имеет право не принимать к исполнению немотивированные претензии Заказчика. Наличие немотивированных претензий фиксируется Исполнителем в Акте Отказа.</w:t>
      </w:r>
    </w:p>
    <w:p w14:paraId="68B1DDDD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После исправления Исполнителем допущенных недостатков Стороны подписывают Акт оказанных услуг в течение 3 рабочих дней.</w:t>
      </w:r>
    </w:p>
    <w:p w14:paraId="0C6A4E60">
      <w:pPr>
        <w:numPr>
          <w:ilvl w:val="1"/>
          <w:numId w:val="1"/>
        </w:numPr>
        <w:spacing w:after="240" w:line="276" w:lineRule="auto"/>
        <w:jc w:val="both"/>
      </w:pPr>
      <w:r>
        <w:rPr>
          <w:sz w:val="22"/>
          <w:szCs w:val="22"/>
        </w:rPr>
        <w:t>В случае, если Исполнитель не принял к исполнению немотивированные претензии Заказчика, Стороны разрешают возникший спор в порядке, предусмотренном разделом № 9 Договора.</w:t>
      </w:r>
    </w:p>
    <w:p w14:paraId="25EEEC57">
      <w:pPr>
        <w:numPr>
          <w:ilvl w:val="0"/>
          <w:numId w:val="1"/>
        </w:numPr>
        <w:spacing w:after="120"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>Конфиденциальность.</w:t>
      </w:r>
    </w:p>
    <w:p w14:paraId="06D7A680">
      <w:pPr>
        <w:numPr>
          <w:ilvl w:val="1"/>
          <w:numId w:val="1"/>
        </w:numPr>
        <w:spacing w:before="240" w:after="240" w:line="276" w:lineRule="auto"/>
        <w:jc w:val="both"/>
      </w:pPr>
      <w:r>
        <w:rPr>
          <w:sz w:val="22"/>
          <w:szCs w:val="22"/>
        </w:rPr>
        <w:t>Стороны признают конфиденциальной и обязуются не разглашать содержание, материалы и результаты оказываемых услуг.</w:t>
      </w:r>
    </w:p>
    <w:p w14:paraId="2EAA38DF">
      <w:pPr>
        <w:numPr>
          <w:ilvl w:val="1"/>
          <w:numId w:val="1"/>
        </w:numPr>
        <w:spacing w:before="240" w:after="240" w:line="276" w:lineRule="auto"/>
        <w:jc w:val="both"/>
      </w:pPr>
      <w:r>
        <w:rPr>
          <w:sz w:val="22"/>
          <w:szCs w:val="22"/>
        </w:rPr>
        <w:t>Исполнитель вправе передавать конфиденциальную информацию по Договору своим сотрудникам и исполнителям по договорам, которые участвуют в оказании услуг по Договору.</w:t>
      </w:r>
    </w:p>
    <w:p w14:paraId="0B883537">
      <w:pPr>
        <w:numPr>
          <w:ilvl w:val="1"/>
          <w:numId w:val="1"/>
        </w:numPr>
        <w:spacing w:after="40" w:line="276" w:lineRule="auto"/>
        <w:jc w:val="both"/>
      </w:pPr>
      <w:r>
        <w:rPr>
          <w:sz w:val="22"/>
          <w:szCs w:val="22"/>
        </w:rPr>
        <w:t>Исполнитель вправе упоминать в презентационных и рекламных материалах информацию, не являющуюся конфиденциальной:</w:t>
      </w:r>
    </w:p>
    <w:p w14:paraId="6905CD7F">
      <w:pPr>
        <w:numPr>
          <w:ilvl w:val="0"/>
          <w:numId w:val="3"/>
        </w:numPr>
        <w:spacing w:line="276" w:lineRule="auto"/>
        <w:ind w:left="1275"/>
        <w:jc w:val="both"/>
        <w:rPr>
          <w:sz w:val="22"/>
          <w:szCs w:val="22"/>
        </w:rPr>
      </w:pPr>
      <w:r>
        <w:rPr>
          <w:sz w:val="22"/>
          <w:szCs w:val="22"/>
        </w:rPr>
        <w:t>Перечень услуг, оказанных в рамках Договора;</w:t>
      </w:r>
    </w:p>
    <w:p w14:paraId="06F2EF45">
      <w:pPr>
        <w:numPr>
          <w:ilvl w:val="0"/>
          <w:numId w:val="3"/>
        </w:numPr>
        <w:spacing w:after="240" w:line="276" w:lineRule="auto"/>
        <w:ind w:left="1275"/>
        <w:jc w:val="both"/>
        <w:rPr>
          <w:sz w:val="22"/>
          <w:szCs w:val="22"/>
        </w:rPr>
      </w:pPr>
      <w:r>
        <w:rPr>
          <w:sz w:val="22"/>
          <w:szCs w:val="22"/>
        </w:rPr>
        <w:t>Результат, полученный в ходе оказания услуг.</w:t>
      </w:r>
    </w:p>
    <w:p w14:paraId="5441C72A">
      <w:pPr>
        <w:numPr>
          <w:ilvl w:val="1"/>
          <w:numId w:val="1"/>
        </w:numPr>
        <w:spacing w:after="160" w:line="276" w:lineRule="auto"/>
        <w:jc w:val="both"/>
      </w:pPr>
      <w:r>
        <w:rPr>
          <w:sz w:val="22"/>
          <w:szCs w:val="22"/>
        </w:rPr>
        <w:t>Исполнитель вправе демонстрировать результаты оказания услуг в рекламных целях.</w:t>
      </w:r>
    </w:p>
    <w:p w14:paraId="66C5AA54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В случае нарушения Стороной положений настоящего раздела она обязуется уплатить другой Стороне штраф в размере 100 000 (сто тысяч) рублей</w:t>
      </w:r>
    </w:p>
    <w:p w14:paraId="23364D4B">
      <w:pPr>
        <w:numPr>
          <w:ilvl w:val="0"/>
          <w:numId w:val="1"/>
        </w:numPr>
        <w:spacing w:after="120" w:line="276" w:lineRule="auto"/>
        <w:jc w:val="both"/>
        <w:rPr>
          <w:rFonts w:ascii="PT Serif" w:hAnsi="PT Serif" w:eastAsia="PT Serif" w:cs="PT Serif"/>
          <w:sz w:val="22"/>
          <w:szCs w:val="22"/>
        </w:rPr>
      </w:pPr>
      <w:r>
        <w:rPr>
          <w:b/>
          <w:sz w:val="22"/>
          <w:szCs w:val="22"/>
        </w:rPr>
        <w:t>Интеллектуальная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собственность</w:t>
      </w:r>
    </w:p>
    <w:p w14:paraId="75DCB11F">
      <w:pPr>
        <w:numPr>
          <w:ilvl w:val="1"/>
          <w:numId w:val="1"/>
        </w:numPr>
        <w:pBdr>
          <w:left w:val="none" w:color="auto" w:sz="0" w:space="22"/>
        </w:pBdr>
        <w:spacing w:after="120" w:line="276" w:lineRule="auto"/>
        <w:jc w:val="both"/>
      </w:pPr>
      <w:r>
        <w:rPr>
          <w:sz w:val="22"/>
          <w:szCs w:val="22"/>
          <w:highlight w:val="white"/>
        </w:rPr>
        <w:t>Исполнитель в процессе оказания услуг создает или использует результаты интеллектуальной деятельности (“</w:t>
      </w:r>
      <w:r>
        <w:rPr>
          <w:b/>
          <w:sz w:val="22"/>
          <w:szCs w:val="22"/>
          <w:highlight w:val="white"/>
        </w:rPr>
        <w:t>Произведение</w:t>
      </w:r>
      <w:r>
        <w:rPr>
          <w:sz w:val="22"/>
          <w:szCs w:val="22"/>
          <w:highlight w:val="white"/>
        </w:rPr>
        <w:t>”).</w:t>
      </w:r>
    </w:p>
    <w:p w14:paraId="0CB5CCB8">
      <w:pPr>
        <w:numPr>
          <w:ilvl w:val="1"/>
          <w:numId w:val="1"/>
        </w:numPr>
        <w:pBdr>
          <w:left w:val="none" w:color="auto" w:sz="0" w:space="22"/>
        </w:pBdr>
        <w:spacing w:after="120" w:line="276" w:lineRule="auto"/>
        <w:jc w:val="both"/>
      </w:pPr>
      <w:r>
        <w:rPr>
          <w:sz w:val="22"/>
          <w:szCs w:val="22"/>
          <w:highlight w:val="white"/>
        </w:rPr>
        <w:t>Для возникновения, осуществления и защиты авторских прав не требуется регистрации Произведения или соблюдение иных процедур.</w:t>
      </w:r>
    </w:p>
    <w:p w14:paraId="11ABF5D1">
      <w:pPr>
        <w:numPr>
          <w:ilvl w:val="1"/>
          <w:numId w:val="1"/>
        </w:numPr>
        <w:spacing w:after="120" w:line="276" w:lineRule="auto"/>
        <w:jc w:val="both"/>
        <w:rPr>
          <w:sz w:val="22"/>
          <w:szCs w:val="22"/>
        </w:rPr>
      </w:pPr>
      <w:r>
        <w:rPr>
          <w:highlight w:val="white"/>
        </w:rPr>
        <w:t>Полный объем исключительных прав на Произведение и его части сохраняется за Исполнителем и не переходит к Заказчику. Исполнитель не предоставляет Заказчику право использовать Произведение по своему усмотрению в целях, не связанных с оказанием услуг по настоящему Договору.</w:t>
      </w:r>
    </w:p>
    <w:p w14:paraId="22AF6443">
      <w:pPr>
        <w:numPr>
          <w:ilvl w:val="1"/>
          <w:numId w:val="1"/>
        </w:numPr>
        <w:spacing w:after="120" w:line="276" w:lineRule="auto"/>
        <w:jc w:val="both"/>
        <w:rPr>
          <w:highlight w:val="white"/>
        </w:rPr>
      </w:pPr>
      <w:r>
        <w:rPr>
          <w:highlight w:val="white"/>
        </w:rPr>
        <w:t>В случае нарушения Заказчиком положений этого раздела он обязуется Уплатить Исполнителю неустойку в размере:</w:t>
      </w:r>
    </w:p>
    <w:p w14:paraId="565AE41E">
      <w:pPr>
        <w:numPr>
          <w:ilvl w:val="0"/>
          <w:numId w:val="4"/>
        </w:numPr>
        <w:spacing w:line="276" w:lineRule="auto"/>
        <w:jc w:val="both"/>
        <w:rPr>
          <w:highlight w:val="white"/>
        </w:rPr>
      </w:pPr>
      <w:r>
        <w:rPr>
          <w:highlight w:val="white"/>
        </w:rPr>
        <w:t>500000 (пятьсот тысяч) рублей в случае публичного распространения материалов Исполнителя, а также их использования для целей оказания услуг, исполнения лицензионного договора или иных действий, направленных на извлечение прибыли посредством использования материалов Исполнителя.</w:t>
      </w:r>
    </w:p>
    <w:p w14:paraId="7ECBFC35">
      <w:pPr>
        <w:numPr>
          <w:ilvl w:val="0"/>
          <w:numId w:val="4"/>
        </w:numPr>
        <w:spacing w:line="276" w:lineRule="auto"/>
        <w:jc w:val="both"/>
        <w:rPr>
          <w:highlight w:val="white"/>
        </w:rPr>
      </w:pPr>
      <w:r>
        <w:rPr>
          <w:highlight w:val="white"/>
        </w:rPr>
        <w:t>100000 (сто тысяч) рублей в случае передачи третьему лицу без согласия Заказчика.</w:t>
      </w:r>
    </w:p>
    <w:p w14:paraId="0B0D0226">
      <w:pPr>
        <w:numPr>
          <w:ilvl w:val="1"/>
          <w:numId w:val="1"/>
        </w:numPr>
        <w:spacing w:after="120" w:line="276" w:lineRule="auto"/>
        <w:jc w:val="both"/>
        <w:rPr>
          <w:highlight w:val="white"/>
        </w:rPr>
      </w:pPr>
      <w:r>
        <w:rPr>
          <w:highlight w:val="white"/>
        </w:rPr>
        <w:t>Неустойки, предусмотренные в п. 6.4. являются штрафными.</w:t>
      </w:r>
    </w:p>
    <w:p w14:paraId="4893C7D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160" w:line="276" w:lineRule="auto"/>
      </w:pPr>
      <w:r>
        <w:rPr>
          <w:b/>
          <w:sz w:val="22"/>
          <w:szCs w:val="22"/>
        </w:rPr>
        <w:t>Ответственность Сторон.</w:t>
      </w:r>
    </w:p>
    <w:p w14:paraId="78CAA43C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567" w:hanging="567"/>
      </w:pPr>
      <w:r>
        <w:rPr>
          <w:sz w:val="22"/>
          <w:szCs w:val="22"/>
        </w:rPr>
        <w:t>В случае, когда услуги оказаны с отступлениями от Договора или с иными недостатками, если иное не установлено законом, Заказчик вправе предъявить Исполнителю одно из следующих требований:</w:t>
      </w:r>
    </w:p>
    <w:p w14:paraId="6FF0A4F8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993" w:hanging="426"/>
        <w:rPr>
          <w:sz w:val="22"/>
          <w:szCs w:val="22"/>
        </w:rPr>
      </w:pPr>
      <w:r>
        <w:rPr>
          <w:sz w:val="22"/>
          <w:szCs w:val="22"/>
        </w:rPr>
        <w:t>О безвозмездном устранении недостатков в разумный срок, указанный в требовании Заказчика;</w:t>
      </w:r>
    </w:p>
    <w:p w14:paraId="30A493E0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ind w:left="993" w:hanging="426"/>
        <w:rPr>
          <w:sz w:val="22"/>
          <w:szCs w:val="22"/>
        </w:rPr>
      </w:pPr>
      <w:r>
        <w:rPr>
          <w:sz w:val="22"/>
          <w:szCs w:val="22"/>
        </w:rPr>
        <w:t>О соразмерном уменьшении цены оказываемых услуг.</w:t>
      </w:r>
    </w:p>
    <w:p w14:paraId="7CBD548F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</w:pPr>
      <w:r>
        <w:rPr>
          <w:sz w:val="22"/>
          <w:szCs w:val="22"/>
        </w:rPr>
        <w:t xml:space="preserve">В случае нарушения Заказчиком срока оплаты цены оказываемых услуг Исполнитель вправе потребовать от Заказчика уплаты неустойки в размере 0,1% от неоплаченной суммы за каждый рабочий день просрочки. </w:t>
      </w:r>
    </w:p>
    <w:p w14:paraId="68E38C8D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</w:pPr>
      <w:r>
        <w:rPr>
          <w:sz w:val="22"/>
          <w:szCs w:val="22"/>
        </w:rPr>
        <w:t>В случае нарушения Заказчиком срока оплаты цены оказываемых услуг более чем на 5 (пять) рабочих дней Исполнитель вправе в одностороннем порядке отказаться от Договора.</w:t>
      </w:r>
    </w:p>
    <w:p w14:paraId="74E851A7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  <w:rPr>
          <w:sz w:val="22"/>
          <w:szCs w:val="22"/>
        </w:rPr>
      </w:pPr>
      <w:r>
        <w:rPr>
          <w:sz w:val="22"/>
          <w:szCs w:val="22"/>
        </w:rPr>
        <w:t>Исполнитель не несет ответственности за качество предоставленных услуг, в случае неисполнения Заказчиком кредиторских обязанностей, предусмотренных п. 2.5 Договора.</w:t>
      </w:r>
    </w:p>
    <w:p w14:paraId="2E5CDB21">
      <w:pPr>
        <w:numPr>
          <w:ilvl w:val="1"/>
          <w:numId w:val="1"/>
        </w:numPr>
        <w:spacing w:before="240" w:after="240" w:line="276" w:lineRule="auto"/>
        <w:ind w:left="566" w:hanging="566"/>
      </w:pPr>
      <w:r>
        <w:rPr>
          <w:sz w:val="22"/>
          <w:szCs w:val="22"/>
        </w:rPr>
        <w:t>Исполнитель не гарантирует Заказчику определенный результат оказания услуг, в частности, конкретного работодателя, с которым Заказчик вступит в трудовые отношения по результатам оказания услуг.</w:t>
      </w:r>
    </w:p>
    <w:p w14:paraId="0AAA9739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76" w:lineRule="auto"/>
        <w:ind w:left="567" w:hanging="567"/>
      </w:pPr>
      <w:r>
        <w:rPr>
          <w:sz w:val="22"/>
          <w:szCs w:val="22"/>
        </w:rPr>
        <w:t>Исполнитель не несет ответственность за действия третьих лиц, привлеченных Заказчиком к оказанию услуг, связанных с  предметом Договора.</w:t>
      </w:r>
    </w:p>
    <w:p w14:paraId="399EA1F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120" w:line="276" w:lineRule="auto"/>
      </w:pPr>
      <w:r>
        <w:rPr>
          <w:b/>
          <w:sz w:val="22"/>
          <w:szCs w:val="22"/>
        </w:rPr>
        <w:t>Срок действия договора. Прекращение Договора.</w:t>
      </w:r>
    </w:p>
    <w:p w14:paraId="3183CD2D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80" w:line="276" w:lineRule="auto"/>
      </w:pPr>
      <w:bookmarkStart w:id="2" w:name="_30j0zll" w:colFirst="0" w:colLast="0"/>
      <w:bookmarkEnd w:id="2"/>
      <w:r>
        <w:rPr>
          <w:sz w:val="22"/>
          <w:szCs w:val="22"/>
        </w:rPr>
        <w:t>Стороны заключают Договор на срок – 3 (трех) месяца</w:t>
      </w:r>
      <w:r>
        <w:rPr>
          <w:b/>
          <w:sz w:val="22"/>
          <w:szCs w:val="22"/>
        </w:rPr>
        <w:t xml:space="preserve">. </w:t>
      </w:r>
    </w:p>
    <w:p w14:paraId="50F4D8F3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</w:pPr>
      <w:bookmarkStart w:id="3" w:name="_3ydpe63xdd7z" w:colFirst="0" w:colLast="0"/>
      <w:bookmarkEnd w:id="3"/>
      <w:r>
        <w:rPr>
          <w:sz w:val="22"/>
          <w:szCs w:val="22"/>
        </w:rPr>
        <w:t>В случае, если Заказчик в течение срока действия договора не трудоустроился в соответствии с Пакетным Предложением Заказчика, то Договор продолжает действовать до дня такого трудоустройства и исполнения обязательств Заказчика по оплате услуг, связанных с таким трудоустройством.</w:t>
      </w:r>
    </w:p>
    <w:p w14:paraId="16E4F910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76" w:lineRule="auto"/>
      </w:pPr>
      <w:bookmarkStart w:id="4" w:name="_f4fmlutzy62x" w:colFirst="0" w:colLast="0"/>
      <w:bookmarkEnd w:id="4"/>
      <w:r>
        <w:rPr>
          <w:sz w:val="22"/>
          <w:szCs w:val="22"/>
        </w:rPr>
        <w:t>Договор вступает в силу с момента его подписания обеими Сторонами.</w:t>
      </w:r>
    </w:p>
    <w:p w14:paraId="6D55F484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76" w:lineRule="auto"/>
        <w:rPr>
          <w:sz w:val="22"/>
          <w:szCs w:val="22"/>
        </w:rPr>
      </w:pPr>
      <w:bookmarkStart w:id="5" w:name="_ctqr0c5hno3l" w:colFirst="0" w:colLast="0"/>
      <w:bookmarkEnd w:id="5"/>
      <w:r>
        <w:rPr>
          <w:sz w:val="22"/>
          <w:szCs w:val="22"/>
        </w:rPr>
        <w:t>Заказчик вправе отказаться от Договора с оплатой Исполнителю фактически понесенных расходов, равных цене услуг, оказанных за период получения Заказчиком исполнения по Договору, в течение первого месяца оказания услуг.</w:t>
      </w:r>
    </w:p>
    <w:p w14:paraId="64A1CDBA">
      <w:pPr>
        <w:numPr>
          <w:ilvl w:val="0"/>
          <w:numId w:val="1"/>
        </w:numPr>
        <w:spacing w:before="300" w:after="160" w:line="276" w:lineRule="auto"/>
        <w:jc w:val="both"/>
      </w:pPr>
      <w:r>
        <w:rPr>
          <w:b/>
        </w:rPr>
        <w:t>Порядок разрешения споров.</w:t>
      </w:r>
    </w:p>
    <w:p w14:paraId="69A45315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Все споры, связанные с заключением, толкованием, исполнением и расторжением Договора, будут разрешаться Сторонами путем переговоров.</w:t>
      </w:r>
    </w:p>
    <w:p w14:paraId="3486B58B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В случае недостижения соглашения в ходе переговоров, заинтересованная Сторона направляет претензию в письменной форме, подписанную уполномоченным лицом. Претензия должна быть направлена с использованием средств связи, обеспечивающих фиксирование ее отправления (заказной почтой, телеграфом и т.д.) и получения, либо вручена другой Стороне под расписку.</w:t>
      </w:r>
    </w:p>
    <w:p w14:paraId="0CD1E896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К претензии должны быть приложены документы, обосновывающие предъявленные заинтересованной Стороной требования (в случае их отсутствия у другой Стороны), и документы, подтверждающие полномочия лица, подписавшего претензию. Указанные документы представляются в форме надлежащим образом заверенных копий. Претензия, направленная без документов, подтверждающих полномочия лица, ее подписавшего, считается непредъявленной и рассмотрению не подлежит.</w:t>
      </w:r>
    </w:p>
    <w:p w14:paraId="157C00C7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Сторона, которой направлена претензия, обязана рассмотреть полученную претензию и о результатах уведомить в письменной форме заинтересованную Сторону в течение 10 (десяти) рабочих дней со дня получения претензии.</w:t>
      </w:r>
    </w:p>
    <w:p w14:paraId="08164C84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В случае неурегулирования разногласий в претензионном порядке, а также в случае неполучения ответа на претензию в течение срока, указанного в п. 9.4 настоящего Договора, спор разрешается в Арбитражном суде города Москвы</w:t>
      </w:r>
    </w:p>
    <w:p w14:paraId="68A3E787">
      <w:pPr>
        <w:numPr>
          <w:ilvl w:val="0"/>
          <w:numId w:val="1"/>
        </w:numPr>
        <w:spacing w:after="160" w:line="276" w:lineRule="auto"/>
        <w:jc w:val="both"/>
      </w:pPr>
      <w:r>
        <w:rPr>
          <w:b/>
        </w:rPr>
        <w:t>Заключение, изменение и расторжение настоящего Договора.</w:t>
      </w:r>
    </w:p>
    <w:p w14:paraId="17822E34">
      <w:pPr>
        <w:numPr>
          <w:ilvl w:val="1"/>
          <w:numId w:val="1"/>
        </w:numPr>
        <w:spacing w:after="160" w:line="276" w:lineRule="auto"/>
        <w:jc w:val="both"/>
      </w:pPr>
      <w:r>
        <w:t>Заключение, изменение, расторжение Договора, а также Приложений и Дополнительных соглашений, являющихся его составной частью производится:</w:t>
      </w:r>
    </w:p>
    <w:p w14:paraId="6F57EE7B">
      <w:pPr>
        <w:numPr>
          <w:ilvl w:val="0"/>
          <w:numId w:val="6"/>
        </w:numPr>
        <w:spacing w:line="276" w:lineRule="auto"/>
        <w:jc w:val="both"/>
      </w:pPr>
      <w:r>
        <w:t>Собственноручным подписанием экземпляров Договора на бумажном носителе;</w:t>
      </w:r>
    </w:p>
    <w:p w14:paraId="0E6DF593">
      <w:pPr>
        <w:numPr>
          <w:ilvl w:val="0"/>
          <w:numId w:val="6"/>
        </w:numPr>
        <w:spacing w:line="276" w:lineRule="auto"/>
        <w:jc w:val="both"/>
      </w:pPr>
      <w:r>
        <w:t>Путем обмена сторонами отсканированными версиями подписанного Договора с подписью;</w:t>
      </w:r>
    </w:p>
    <w:p w14:paraId="60986AD5">
      <w:pPr>
        <w:numPr>
          <w:ilvl w:val="0"/>
          <w:numId w:val="6"/>
        </w:numPr>
        <w:spacing w:after="200" w:line="276" w:lineRule="auto"/>
        <w:jc w:val="both"/>
      </w:pPr>
      <w:r>
        <w:t>В электронном виде посредством подписания документа простой электронной подписью (далее - ПЭП). Электронный документ, подписанный ПЭП считается равнозначным документу на бумажном носителе, подписанному собственноручной подписью.</w:t>
      </w:r>
    </w:p>
    <w:p w14:paraId="22CB4536">
      <w:pPr>
        <w:numPr>
          <w:ilvl w:val="1"/>
          <w:numId w:val="1"/>
        </w:numPr>
        <w:spacing w:after="160" w:line="276" w:lineRule="auto"/>
        <w:jc w:val="both"/>
      </w:pPr>
      <w:r>
        <w:t>При подписании документа простой электронной подписью (далее - ПЭП) идентификация личностей Исполнителя и Заказчика производится через адреса их электронной почты или электронных средств мгновенного обмена сообщениями (“Мессенджер”) и пароли к ним. Открытой частью ключа ПЭП является адрес электронного почтового ящика или номер телефона / открытый идентификатор мессенджера Стороны, а закрытой частью — пароль к нему.</w:t>
      </w:r>
    </w:p>
    <w:p w14:paraId="176739E0">
      <w:pPr>
        <w:numPr>
          <w:ilvl w:val="1"/>
          <w:numId w:val="1"/>
        </w:numPr>
        <w:spacing w:after="160" w:line="276" w:lineRule="auto"/>
        <w:jc w:val="both"/>
      </w:pPr>
      <w:r>
        <w:t>Электронный документ будет считаться полученным другой Стороной в дату его надлежащего отправления отправляющей Стороной вне зависимости от даты фактического получения письма с электронным документом.</w:t>
      </w:r>
    </w:p>
    <w:p w14:paraId="2E5CB660">
      <w:pPr>
        <w:numPr>
          <w:ilvl w:val="1"/>
          <w:numId w:val="1"/>
        </w:numPr>
        <w:spacing w:after="160" w:line="276" w:lineRule="auto"/>
        <w:jc w:val="both"/>
      </w:pPr>
      <w:r>
        <w:t>Стороны соглашаются и подтверждают, что электронные документы, подписанные сторонами (в т.ч. с помощью ПЭП), будут иметь силу документов, подписанных собственноручной подписью, в том числе в судах, в дальнейших взаимоотношениях сторон, при предоставлении в налоговые и иные органы, третьим лицам в предусмотренным действующим законодательством и Договором случаях, а также в любых иных случаях.</w:t>
      </w:r>
    </w:p>
    <w:p w14:paraId="60397AF5">
      <w:pPr>
        <w:numPr>
          <w:ilvl w:val="1"/>
          <w:numId w:val="1"/>
        </w:numPr>
        <w:spacing w:after="160" w:line="276" w:lineRule="auto"/>
        <w:jc w:val="both"/>
      </w:pPr>
      <w:r>
        <w:t>Стороны обязуются регулярно проверять свои электронные почтовые ящики и Мессенджеры на предмет получения писем или сообщений от другой Стороны. Стороны понимают и принимают все последствия, связанные с не проверкой своих электронных почтовых ящиков или Мессенджеров.</w:t>
      </w:r>
    </w:p>
    <w:p w14:paraId="3EBEE77B">
      <w:pPr>
        <w:numPr>
          <w:ilvl w:val="1"/>
          <w:numId w:val="1"/>
        </w:numPr>
        <w:spacing w:after="160" w:line="276" w:lineRule="auto"/>
        <w:jc w:val="both"/>
      </w:pPr>
      <w:r>
        <w:t>Стороны не вправе ссылаться на недействительность Договора, заключенного путем его подписания ПЭП в форме электронного документа. Подписывая Договор в форме электронного документа Простой электронной подписью Стороны берут на себя все правовые последствия такого способа волеизъявления при подписании Договора.</w:t>
      </w:r>
    </w:p>
    <w:p w14:paraId="042D6D3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line="276" w:lineRule="auto"/>
      </w:pPr>
      <w:r>
        <w:rPr>
          <w:b/>
          <w:sz w:val="22"/>
          <w:szCs w:val="22"/>
        </w:rPr>
        <w:t>Реквизиты и подписи Сторон.</w:t>
      </w:r>
    </w:p>
    <w:p w14:paraId="494CB164">
      <w:pPr>
        <w:spacing w:before="240" w:line="276" w:lineRule="auto"/>
        <w:rPr>
          <w:b/>
          <w:sz w:val="22"/>
          <w:szCs w:val="22"/>
        </w:rPr>
      </w:pPr>
    </w:p>
    <w:tbl>
      <w:tblPr>
        <w:tblStyle w:val="14"/>
        <w:tblpPr w:leftFromText="180" w:rightFromText="180" w:topFromText="180" w:bottomFromText="180" w:vertAnchor="text" w:tblpX="334"/>
        <w:tblW w:w="98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45"/>
        <w:gridCol w:w="2775"/>
        <w:gridCol w:w="2025"/>
        <w:gridCol w:w="660"/>
        <w:gridCol w:w="1950"/>
      </w:tblGrid>
      <w:tr w14:paraId="11C0AF3A">
        <w:trPr>
          <w:trHeight w:val="525" w:hRule="atLeast"/>
        </w:trPr>
        <w:tc>
          <w:tcPr>
            <w:tcW w:w="5220" w:type="dxa"/>
            <w:gridSpan w:val="2"/>
            <w:tcMar>
              <w:top w:w="0" w:type="dxa"/>
              <w:bottom w:w="0" w:type="dxa"/>
            </w:tcMar>
          </w:tcPr>
          <w:p w14:paraId="2999F9D0">
            <w:pPr>
              <w:spacing w:after="240" w:line="288" w:lineRule="auto"/>
              <w:ind w:right="140"/>
              <w:rPr>
                <w:b/>
              </w:rPr>
            </w:pPr>
            <w:r>
              <w:rPr>
                <w:b/>
              </w:rPr>
              <w:t xml:space="preserve">Исполнитель </w:t>
            </w:r>
          </w:p>
        </w:tc>
        <w:tc>
          <w:tcPr>
            <w:tcW w:w="4635" w:type="dxa"/>
            <w:gridSpan w:val="3"/>
            <w:tcMar>
              <w:top w:w="0" w:type="dxa"/>
              <w:bottom w:w="0" w:type="dxa"/>
            </w:tcMar>
          </w:tcPr>
          <w:p w14:paraId="338FA230">
            <w:pPr>
              <w:spacing w:after="240" w:line="288" w:lineRule="auto"/>
              <w:ind w:right="140"/>
              <w:rPr>
                <w:b/>
              </w:rPr>
            </w:pPr>
            <w:r>
              <w:rPr>
                <w:b/>
              </w:rPr>
              <w:t xml:space="preserve">Заказчик </w:t>
            </w:r>
          </w:p>
        </w:tc>
      </w:tr>
      <w:tr w14:paraId="31593393">
        <w:trPr>
          <w:trHeight w:val="525" w:hRule="atLeast"/>
        </w:trPr>
        <w:tc>
          <w:tcPr>
            <w:tcW w:w="5220" w:type="dxa"/>
            <w:gridSpan w:val="2"/>
            <w:tcMar>
              <w:top w:w="0" w:type="dxa"/>
              <w:bottom w:w="0" w:type="dxa"/>
            </w:tcMar>
          </w:tcPr>
          <w:p w14:paraId="3973DE63">
            <w:pPr>
              <w:spacing w:after="240" w:line="288" w:lineRule="auto"/>
              <w:ind w:left="140" w:right="140"/>
              <w:rPr>
                <w:b/>
              </w:rPr>
            </w:pPr>
            <w:r>
              <w:rPr>
                <w:b/>
              </w:rPr>
              <w:t>ИП Омелаенко Роман Станиславович</w:t>
            </w:r>
          </w:p>
        </w:tc>
        <w:tc>
          <w:tcPr>
            <w:tcW w:w="4635" w:type="dxa"/>
            <w:gridSpan w:val="3"/>
            <w:tcMar>
              <w:top w:w="0" w:type="dxa"/>
              <w:bottom w:w="0" w:type="dxa"/>
            </w:tcMar>
          </w:tcPr>
          <w:p w14:paraId="6C721466">
            <w:pPr>
              <w:spacing w:after="240" w:line="288" w:lineRule="auto"/>
              <w:ind w:left="140" w:right="140"/>
              <w:rPr>
                <w:rFonts w:hint="default"/>
                <w:b/>
                <w:highlight w:val="green"/>
                <w:lang w:val="en-US"/>
              </w:rPr>
            </w:pPr>
            <w:r>
              <w:rPr>
                <w:b/>
                <w:highlight w:val="green"/>
              </w:rPr>
              <w:t>{{</w:t>
            </w:r>
            <w:r>
              <w:rPr>
                <w:rFonts w:hint="default"/>
                <w:b/>
                <w:highlight w:val="green"/>
                <w:lang w:val="en-US"/>
              </w:rPr>
              <w:t>fio</w:t>
            </w:r>
            <w:r>
              <w:rPr>
                <w:b/>
                <w:highlight w:val="green"/>
              </w:rPr>
              <w:t>}</w:t>
            </w:r>
            <w:r>
              <w:rPr>
                <w:rFonts w:hint="default"/>
                <w:b/>
                <w:highlight w:val="green"/>
                <w:lang w:val="en-US"/>
              </w:rPr>
              <w:t>}</w:t>
            </w:r>
          </w:p>
        </w:tc>
      </w:tr>
      <w:tr w14:paraId="6C33AE35">
        <w:trPr>
          <w:trHeight w:val="3975" w:hRule="atLeast"/>
        </w:trPr>
        <w:tc>
          <w:tcPr>
            <w:tcW w:w="5220" w:type="dxa"/>
            <w:gridSpan w:val="2"/>
            <w:tcMar>
              <w:top w:w="0" w:type="dxa"/>
              <w:bottom w:w="0" w:type="dxa"/>
            </w:tcMar>
          </w:tcPr>
          <w:p w14:paraId="2D05756A">
            <w:pPr>
              <w:spacing w:line="397" w:lineRule="auto"/>
            </w:pPr>
            <w:r>
              <w:rPr>
                <w:b/>
              </w:rPr>
              <w:t xml:space="preserve">Адрес: </w:t>
            </w:r>
            <w:r>
              <w:t>Московская обл, г Солнечногорск</w:t>
            </w:r>
          </w:p>
          <w:p w14:paraId="3E3C704D">
            <w:pPr>
              <w:spacing w:line="397" w:lineRule="auto"/>
              <w:rPr>
                <w:color w:val="100800"/>
              </w:rPr>
            </w:pPr>
            <w:r>
              <w:rPr>
                <w:b/>
              </w:rPr>
              <w:t xml:space="preserve">ОГРНИП: </w:t>
            </w:r>
            <w:r>
              <w:t>324508100319597</w:t>
            </w:r>
            <w:r>
              <w:rPr>
                <w:b/>
              </w:rPr>
              <w:br w:type="textWrapping"/>
            </w:r>
            <w:r>
              <w:rPr>
                <w:b/>
              </w:rPr>
              <w:t xml:space="preserve">ИНН: </w:t>
            </w:r>
            <w:r>
              <w:rPr>
                <w:color w:val="100800"/>
              </w:rPr>
              <w:t xml:space="preserve">504413843204 </w:t>
            </w:r>
          </w:p>
          <w:p w14:paraId="607C0F4F">
            <w:pPr>
              <w:spacing w:line="397" w:lineRule="auto"/>
            </w:pPr>
            <w:r>
              <w:t>Банковские реквизиты.</w:t>
            </w:r>
          </w:p>
          <w:p w14:paraId="1DF6B39B">
            <w:pPr>
              <w:spacing w:line="397" w:lineRule="auto"/>
            </w:pPr>
            <w:r>
              <w:rPr>
                <w:b/>
              </w:rPr>
              <w:t xml:space="preserve">Р/c: </w:t>
            </w:r>
            <w:r>
              <w:t>40802810000006303911</w:t>
            </w:r>
          </w:p>
          <w:p w14:paraId="6D300D03">
            <w:pPr>
              <w:spacing w:line="397" w:lineRule="auto"/>
            </w:pPr>
            <w:r>
              <w:rPr>
                <w:b/>
              </w:rPr>
              <w:t xml:space="preserve">К/с: </w:t>
            </w:r>
            <w:r>
              <w:t>30101810145250000974</w:t>
            </w:r>
          </w:p>
          <w:p w14:paraId="138712FF">
            <w:pPr>
              <w:spacing w:line="397" w:lineRule="auto"/>
            </w:pPr>
            <w:r>
              <w:rPr>
                <w:b/>
              </w:rPr>
              <w:t xml:space="preserve">Наименование банка: </w:t>
            </w:r>
            <w:r>
              <w:t>АО «ТБанк»</w:t>
            </w:r>
          </w:p>
          <w:p w14:paraId="370FF5F6">
            <w:pPr>
              <w:spacing w:line="397" w:lineRule="auto"/>
            </w:pPr>
            <w:r>
              <w:rPr>
                <w:b/>
              </w:rPr>
              <w:t xml:space="preserve">БИК: </w:t>
            </w:r>
            <w:r>
              <w:t>044525974</w:t>
            </w:r>
          </w:p>
          <w:p w14:paraId="32CC6F69">
            <w:pPr>
              <w:spacing w:line="397" w:lineRule="auto"/>
              <w:rPr>
                <w:b/>
              </w:rPr>
            </w:pPr>
            <w:r>
              <w:rPr>
                <w:b/>
              </w:rPr>
              <w:t>Адрес электронной почты:</w:t>
            </w:r>
          </w:p>
          <w:p w14:paraId="458379C7">
            <w:pPr>
              <w:spacing w:line="397" w:lineRule="auto"/>
              <w:rPr>
                <w:b/>
                <w:color w:val="1155CC"/>
                <w:u w:val="single"/>
              </w:rPr>
            </w:pPr>
            <w:bookmarkStart w:id="6" w:name="_lpe2ter9av3d" w:colFirst="0" w:colLast="0"/>
            <w:bookmarkEnd w:id="6"/>
            <w:r>
              <w:rPr>
                <w:b/>
                <w:color w:val="1155CC"/>
                <w:u w:val="single"/>
              </w:rPr>
              <w:t>orsroma@gmail.com</w:t>
            </w:r>
          </w:p>
        </w:tc>
        <w:tc>
          <w:tcPr>
            <w:tcW w:w="4635" w:type="dxa"/>
            <w:gridSpan w:val="3"/>
            <w:tcMar>
              <w:top w:w="0" w:type="dxa"/>
              <w:bottom w:w="0" w:type="dxa"/>
            </w:tcMar>
          </w:tcPr>
          <w:p w14:paraId="7F683F0B">
            <w:pPr>
              <w:spacing w:line="397" w:lineRule="auto"/>
              <w:rPr>
                <w:b/>
                <w:bCs/>
                <w:shd w:val="clear" w:color="auto" w:fill="00FF00"/>
              </w:rPr>
            </w:pPr>
            <w:r>
              <w:rPr>
                <w:b/>
                <w:highlight w:val="green"/>
              </w:rPr>
              <w:t>А</w:t>
            </w:r>
            <w:r>
              <w:rPr>
                <w:b/>
                <w:bCs/>
                <w:shd w:val="clear" w:color="auto" w:fill="00FF00"/>
                <w:rtl w:val="0"/>
                <w:lang w:val="ru-RU"/>
              </w:rPr>
              <w:t xml:space="preserve">дрес: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{{adress}}</w:t>
            </w:r>
          </w:p>
          <w:p w14:paraId="15564E5F">
            <w:pPr>
              <w:bidi w:val="0"/>
              <w:spacing w:line="397" w:lineRule="auto"/>
              <w:ind w:left="0" w:right="0" w:firstLine="0"/>
              <w:jc w:val="left"/>
              <w:rPr>
                <w:b/>
                <w:bCs/>
                <w:shd w:val="clear" w:color="auto" w:fill="FFFF00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ИНН: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{{inn}}</w:t>
            </w:r>
          </w:p>
          <w:p w14:paraId="1C0B7BC4">
            <w:pPr>
              <w:bidi w:val="0"/>
              <w:spacing w:line="397" w:lineRule="auto"/>
              <w:ind w:left="0" w:right="0" w:firstLine="0"/>
              <w:jc w:val="left"/>
              <w:rPr>
                <w:shd w:val="clear" w:color="auto" w:fill="auto"/>
                <w:rtl w:val="0"/>
              </w:rPr>
            </w:pPr>
            <w:r>
              <w:rPr>
                <w:shd w:val="clear" w:color="auto" w:fill="auto"/>
                <w:rtl w:val="0"/>
                <w:lang w:val="ru-RU"/>
              </w:rPr>
              <w:t>Банковские реквизиты.</w:t>
            </w:r>
          </w:p>
          <w:p w14:paraId="099234D3">
            <w:pPr>
              <w:bidi w:val="0"/>
              <w:spacing w:line="397" w:lineRule="auto"/>
              <w:ind w:left="0" w:right="0" w:firstLine="0"/>
              <w:jc w:val="left"/>
              <w:rPr>
                <w:b/>
                <w:bCs/>
                <w:shd w:val="clear" w:color="auto" w:fill="FFFF00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Р/с: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{{r/s}}</w:t>
            </w:r>
          </w:p>
          <w:p w14:paraId="2D02E7C0">
            <w:pPr>
              <w:bidi w:val="0"/>
              <w:spacing w:line="397" w:lineRule="auto"/>
              <w:ind w:left="0" w:right="0" w:firstLine="0"/>
              <w:jc w:val="left"/>
              <w:rPr>
                <w:b/>
                <w:bCs/>
                <w:shd w:val="clear" w:color="auto" w:fill="FFFF00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К/с: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{{k/s}}</w:t>
            </w:r>
            <w:r>
              <w:rPr>
                <w:b/>
                <w:bCs/>
                <w:shd w:val="clear" w:color="auto" w:fill="FFFF00"/>
                <w:lang w:val="ru-RU"/>
              </w:rPr>
              <w:br w:type="textWrapping"/>
            </w: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Наименование банка: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{{bank}}</w:t>
            </w:r>
          </w:p>
          <w:p w14:paraId="28FB82BE">
            <w:pPr>
              <w:bidi w:val="0"/>
              <w:spacing w:line="397" w:lineRule="auto"/>
              <w:ind w:left="0" w:right="0" w:firstLine="0"/>
              <w:jc w:val="left"/>
              <w:rPr>
                <w:b/>
                <w:bCs/>
                <w:shd w:val="clear" w:color="auto" w:fill="FFFF00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БИК: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{{bic}}</w:t>
            </w:r>
          </w:p>
          <w:p w14:paraId="1D313BE3">
            <w:pPr>
              <w:spacing w:before="240" w:line="276" w:lineRule="auto"/>
              <w:rPr>
                <w:b/>
                <w:bCs/>
                <w:sz w:val="22"/>
                <w:szCs w:val="22"/>
                <w:shd w:val="clear" w:color="auto" w:fill="auto"/>
                <w:lang w:val="ru-RU"/>
              </w:rPr>
            </w:pPr>
          </w:p>
          <w:p w14:paraId="2906ACFE">
            <w:pPr>
              <w:spacing w:after="240" w:line="288" w:lineRule="auto"/>
              <w:ind w:left="140" w:right="140"/>
              <w:rPr>
                <w:b/>
                <w:highlight w:val="green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Адрес электронной почты: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{{email}}</w:t>
            </w:r>
          </w:p>
        </w:tc>
      </w:tr>
      <w:tr w14:paraId="46851F8C">
        <w:trPr>
          <w:trHeight w:val="975" w:hRule="atLeast"/>
        </w:trPr>
        <w:tc>
          <w:tcPr>
            <w:tcW w:w="5220" w:type="dxa"/>
            <w:gridSpan w:val="2"/>
            <w:tcMar>
              <w:top w:w="0" w:type="dxa"/>
              <w:bottom w:w="0" w:type="dxa"/>
            </w:tcMar>
          </w:tcPr>
          <w:p w14:paraId="474C5CA6">
            <w:pPr>
              <w:spacing w:after="240" w:line="288" w:lineRule="auto"/>
              <w:ind w:left="140" w:right="140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47E8EC41">
            <w:pPr>
              <w:spacing w:after="240" w:line="288" w:lineRule="auto"/>
              <w:ind w:left="140" w:right="140"/>
              <w:rPr>
                <w:b/>
                <w:sz w:val="22"/>
                <w:szCs w:val="22"/>
              </w:rPr>
            </w:pPr>
            <w:r>
              <w:rPr>
                <w:b/>
              </w:rPr>
              <w:t xml:space="preserve">________________/ </w:t>
            </w:r>
            <w:r>
              <w:rPr>
                <w:b/>
                <w:sz w:val="22"/>
                <w:szCs w:val="22"/>
              </w:rPr>
              <w:t>Омелаенко Р. С.</w:t>
            </w:r>
          </w:p>
        </w:tc>
        <w:tc>
          <w:tcPr>
            <w:tcW w:w="4635" w:type="dxa"/>
            <w:gridSpan w:val="3"/>
            <w:tcMar>
              <w:top w:w="0" w:type="dxa"/>
              <w:bottom w:w="0" w:type="dxa"/>
            </w:tcMar>
          </w:tcPr>
          <w:p w14:paraId="3FCA14EA">
            <w:pPr>
              <w:spacing w:after="240" w:line="288" w:lineRule="auto"/>
              <w:ind w:left="140" w:right="140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355897C9">
            <w:pPr>
              <w:spacing w:after="240" w:line="288" w:lineRule="auto"/>
              <w:ind w:left="140" w:right="140"/>
              <w:rPr>
                <w:rFonts w:hint="default"/>
                <w:b/>
                <w:lang w:val="en-US"/>
              </w:rPr>
            </w:pPr>
            <w:r>
              <w:rPr>
                <w:b/>
              </w:rPr>
              <w:t xml:space="preserve">________________/ </w:t>
            </w:r>
            <w:r>
              <w:rPr>
                <w:rFonts w:hint="default"/>
                <w:b/>
                <w:lang w:val="en-US"/>
              </w:rPr>
              <w:t>{{fio}}</w:t>
            </w:r>
          </w:p>
        </w:tc>
      </w:tr>
      <w:tr w14:paraId="283A7F6A">
        <w:trPr>
          <w:trHeight w:val="435" w:hRule="atLeast"/>
        </w:trPr>
        <w:tc>
          <w:tcPr>
            <w:tcW w:w="2445" w:type="dxa"/>
            <w:tcMar>
              <w:top w:w="0" w:type="dxa"/>
              <w:bottom w:w="0" w:type="dxa"/>
            </w:tcMar>
          </w:tcPr>
          <w:p w14:paraId="6CCBF635">
            <w:pPr>
              <w:spacing w:after="240" w:line="288" w:lineRule="auto"/>
              <w:ind w:left="140" w:right="140"/>
              <w:jc w:val="center"/>
              <w:rPr>
                <w:b/>
                <w:i/>
                <w:color w:val="999999"/>
                <w:sz w:val="16"/>
                <w:szCs w:val="16"/>
              </w:rPr>
            </w:pPr>
            <w:r>
              <w:rPr>
                <w:b/>
                <w:i/>
                <w:color w:val="999999"/>
                <w:sz w:val="16"/>
                <w:szCs w:val="16"/>
              </w:rPr>
              <w:t>ПОДПИСЬ</w:t>
            </w:r>
          </w:p>
        </w:tc>
        <w:tc>
          <w:tcPr>
            <w:tcW w:w="2775" w:type="dxa"/>
            <w:tcMar>
              <w:top w:w="0" w:type="dxa"/>
              <w:bottom w:w="0" w:type="dxa"/>
            </w:tcMar>
          </w:tcPr>
          <w:p w14:paraId="07F57415">
            <w:pPr>
              <w:spacing w:after="240" w:line="288" w:lineRule="auto"/>
              <w:ind w:left="140" w:right="140"/>
              <w:jc w:val="both"/>
              <w:rPr>
                <w:rFonts w:hint="default"/>
                <w:b/>
                <w:i/>
                <w:color w:val="999999"/>
                <w:sz w:val="16"/>
                <w:szCs w:val="16"/>
                <w:lang w:val="ru-RU"/>
              </w:rPr>
            </w:pPr>
            <w:r>
              <w:rPr>
                <w:b/>
                <w:i/>
                <w:color w:val="999999"/>
                <w:sz w:val="16"/>
                <w:szCs w:val="16"/>
                <w:lang w:val="ru-RU"/>
              </w:rPr>
              <w:t>ФИО</w:t>
            </w:r>
          </w:p>
        </w:tc>
        <w:tc>
          <w:tcPr>
            <w:tcW w:w="2025" w:type="dxa"/>
            <w:tcMar>
              <w:top w:w="0" w:type="dxa"/>
              <w:bottom w:w="0" w:type="dxa"/>
            </w:tcMar>
          </w:tcPr>
          <w:p w14:paraId="3AB77DA3">
            <w:pPr>
              <w:spacing w:after="240" w:line="288" w:lineRule="auto"/>
              <w:ind w:left="140" w:right="140"/>
              <w:jc w:val="center"/>
              <w:rPr>
                <w:b/>
                <w:i/>
                <w:color w:val="999999"/>
                <w:sz w:val="16"/>
                <w:szCs w:val="16"/>
              </w:rPr>
            </w:pPr>
            <w:r>
              <w:rPr>
                <w:b/>
                <w:i/>
                <w:color w:val="999999"/>
                <w:sz w:val="16"/>
                <w:szCs w:val="16"/>
              </w:rPr>
              <w:t>ПОДПИСЬ</w:t>
            </w:r>
          </w:p>
        </w:tc>
        <w:tc>
          <w:tcPr>
            <w:tcW w:w="660" w:type="dxa"/>
            <w:tcMar>
              <w:top w:w="0" w:type="dxa"/>
              <w:bottom w:w="0" w:type="dxa"/>
            </w:tcMar>
          </w:tcPr>
          <w:p w14:paraId="11DAE05E">
            <w:pPr>
              <w:spacing w:before="240" w:line="276" w:lineRule="auto"/>
              <w:rPr>
                <w:b/>
                <w:color w:val="999999"/>
                <w:sz w:val="22"/>
                <w:szCs w:val="22"/>
              </w:rPr>
            </w:pPr>
          </w:p>
        </w:tc>
        <w:tc>
          <w:tcPr>
            <w:tcW w:w="1950" w:type="dxa"/>
            <w:tcMar>
              <w:top w:w="0" w:type="dxa"/>
              <w:bottom w:w="0" w:type="dxa"/>
            </w:tcMar>
          </w:tcPr>
          <w:p w14:paraId="78853899">
            <w:pPr>
              <w:spacing w:after="240" w:line="288" w:lineRule="auto"/>
              <w:ind w:left="140" w:right="140"/>
              <w:rPr>
                <w:rFonts w:hint="default"/>
                <w:b/>
                <w:i/>
                <w:color w:val="999999"/>
                <w:sz w:val="16"/>
                <w:szCs w:val="16"/>
                <w:lang w:val="ru-RU"/>
              </w:rPr>
            </w:pPr>
            <w:r>
              <w:rPr>
                <w:b/>
                <w:i/>
                <w:color w:val="999999"/>
                <w:sz w:val="16"/>
                <w:szCs w:val="16"/>
                <w:lang w:val="ru-RU"/>
              </w:rPr>
              <w:t>ФИО</w:t>
            </w:r>
          </w:p>
        </w:tc>
      </w:tr>
    </w:tbl>
    <w:p w14:paraId="7E0D644A">
      <w:pPr>
        <w:spacing w:before="240" w:line="276" w:lineRule="auto"/>
        <w:rPr>
          <w:b/>
          <w:sz w:val="22"/>
          <w:szCs w:val="22"/>
        </w:rPr>
      </w:pPr>
      <w:bookmarkStart w:id="7" w:name="_1fob9te" w:colFirst="0" w:colLast="0"/>
      <w:bookmarkEnd w:id="7"/>
    </w:p>
    <w:p w14:paraId="4BA9A9CC">
      <w:pPr>
        <w:widowControl w:val="0"/>
        <w:spacing w:line="276" w:lineRule="auto"/>
        <w:rPr>
          <w:sz w:val="2"/>
          <w:szCs w:val="2"/>
        </w:rPr>
      </w:pPr>
      <w:r>
        <w:br w:type="page"/>
      </w:r>
    </w:p>
    <w:p w14:paraId="60922758">
      <w:pPr>
        <w:widowControl w:val="0"/>
        <w:spacing w:line="276" w:lineRule="auto"/>
        <w:rPr>
          <w:sz w:val="2"/>
          <w:szCs w:val="2"/>
        </w:rPr>
      </w:pPr>
    </w:p>
    <w:tbl>
      <w:tblPr>
        <w:tblStyle w:val="15"/>
        <w:tblpPr w:leftFromText="180" w:rightFromText="180" w:topFromText="180" w:bottomFromText="180" w:vertAnchor="text" w:tblpX="79"/>
        <w:tblW w:w="9855" w:type="dxa"/>
        <w:tblInd w:w="-113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65"/>
        <w:gridCol w:w="4890"/>
      </w:tblGrid>
      <w:tr w14:paraId="6B64624E">
        <w:trPr>
          <w:trHeight w:val="954" w:hRule="atLeast"/>
        </w:trPr>
        <w:tc>
          <w:tcPr>
            <w:tcW w:w="49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126ECC">
            <w:pPr>
              <w:spacing w:line="276" w:lineRule="auto"/>
              <w:rPr>
                <w:b/>
                <w:highlight w:val="yellow"/>
              </w:rPr>
            </w:pPr>
            <w:r>
              <w:rPr>
                <w:b/>
              </w:rPr>
              <w:t xml:space="preserve">Приложение № 1 «Пакетное предложение Исполнителя» к Договору возмездного оказания услуг № </w:t>
            </w:r>
            <w:r>
              <w:rPr>
                <w:b/>
                <w:highlight w:val="green"/>
              </w:rPr>
              <w:t>Д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{{num_doc}}</w:t>
            </w: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 от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{{date}}</w:t>
            </w:r>
            <w:r>
              <w:rPr>
                <w:b/>
                <w:bCs/>
                <w:shd w:val="clear" w:color="auto" w:fill="auto"/>
                <w:rtl w:val="0"/>
                <w:lang w:val="ru-RU"/>
              </w:rPr>
              <w:t> </w:t>
            </w:r>
            <w:r>
              <w:rPr>
                <w:b/>
                <w:highlight w:val="green"/>
              </w:rPr>
              <w:t>г</w:t>
            </w:r>
            <w:r>
              <w:rPr>
                <w:b/>
              </w:rPr>
              <w:t>.</w:t>
            </w:r>
          </w:p>
        </w:tc>
        <w:tc>
          <w:tcPr>
            <w:tcW w:w="489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3F2F42">
            <w:pPr>
              <w:spacing w:after="240" w:line="276" w:lineRule="auto"/>
              <w:jc w:val="center"/>
              <w:rPr>
                <w:sz w:val="22"/>
                <w:szCs w:val="22"/>
              </w:rPr>
            </w:pPr>
            <w:r>
              <w:rPr>
                <w:rFonts w:hint="default"/>
                <w:b/>
                <w:sz w:val="22"/>
                <w:szCs w:val="22"/>
                <w:highlight w:val="green"/>
                <w:lang w:val="en-US"/>
              </w:rPr>
              <w:t>{{date}}</w:t>
            </w:r>
            <w:r>
              <w:rPr>
                <w:b/>
                <w:sz w:val="22"/>
                <w:szCs w:val="22"/>
                <w:highlight w:val="green"/>
              </w:rPr>
              <w:t> г</w:t>
            </w:r>
            <w:r>
              <w:rPr>
                <w:b/>
                <w:sz w:val="22"/>
                <w:szCs w:val="22"/>
              </w:rPr>
              <w:t>.</w:t>
            </w:r>
          </w:p>
        </w:tc>
      </w:tr>
      <w:tr w14:paraId="37C46738">
        <w:trPr>
          <w:trHeight w:val="885" w:hRule="atLeast"/>
        </w:trPr>
        <w:tc>
          <w:tcPr>
            <w:tcW w:w="49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78FD0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[1] ИП Омелаенко Роман Станиславович</w:t>
            </w:r>
            <w:r>
              <w:rPr>
                <w:b/>
                <w:sz w:val="22"/>
                <w:szCs w:val="22"/>
              </w:rPr>
              <w:br w:type="textWrapping"/>
            </w:r>
            <w:r>
              <w:rPr>
                <w:sz w:val="22"/>
                <w:szCs w:val="22"/>
              </w:rPr>
              <w:t>(Исполнитель)</w:t>
            </w:r>
          </w:p>
        </w:tc>
        <w:tc>
          <w:tcPr>
            <w:tcW w:w="489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9894C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[2] </w:t>
            </w:r>
            <w:r>
              <w:rPr>
                <w:sz w:val="22"/>
                <w:szCs w:val="22"/>
                <w:highlight w:val="green"/>
              </w:rPr>
              <w:t>{{</w:t>
            </w:r>
            <w:r>
              <w:rPr>
                <w:rFonts w:hint="default"/>
                <w:sz w:val="22"/>
                <w:szCs w:val="22"/>
                <w:highlight w:val="green"/>
                <w:lang w:val="en-US"/>
              </w:rPr>
              <w:t>fio</w:t>
            </w:r>
            <w:r>
              <w:rPr>
                <w:sz w:val="22"/>
                <w:szCs w:val="22"/>
                <w:highlight w:val="green"/>
              </w:rPr>
              <w:t>}}</w:t>
            </w:r>
            <w:r>
              <w:rPr>
                <w:b/>
                <w:sz w:val="22"/>
                <w:szCs w:val="22"/>
              </w:rPr>
              <w:br w:type="textWrapping"/>
            </w:r>
            <w:r>
              <w:rPr>
                <w:sz w:val="22"/>
                <w:szCs w:val="22"/>
              </w:rPr>
              <w:t>(Заказчик)</w:t>
            </w:r>
          </w:p>
        </w:tc>
      </w:tr>
    </w:tbl>
    <w:p w14:paraId="3F736A6D">
      <w:p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Заключили настоящее Приложение к Договору, которым договорились:</w:t>
      </w:r>
    </w:p>
    <w:p w14:paraId="60F9E729">
      <w:pPr>
        <w:widowControl w:val="0"/>
        <w:spacing w:after="40" w:line="276" w:lineRule="auto"/>
        <w:rPr>
          <w:sz w:val="22"/>
          <w:szCs w:val="22"/>
        </w:rPr>
      </w:pPr>
    </w:p>
    <w:p w14:paraId="5F124B34">
      <w:pPr>
        <w:widowControl w:val="0"/>
        <w:numPr>
          <w:ilvl w:val="0"/>
          <w:numId w:val="7"/>
        </w:numPr>
        <w:spacing w:line="276" w:lineRule="auto"/>
        <w:rPr>
          <w:rFonts w:ascii="PT Serif" w:hAnsi="PT Serif" w:eastAsia="PT Serif" w:cs="PT Serif"/>
          <w:sz w:val="22"/>
          <w:szCs w:val="22"/>
        </w:rPr>
      </w:pPr>
      <w:r>
        <w:rPr>
          <w:sz w:val="22"/>
          <w:szCs w:val="22"/>
        </w:rPr>
        <w:t xml:space="preserve">Определить содержание Пакетного предложения Исполнителя </w:t>
      </w:r>
      <w:r>
        <w:rPr>
          <w:b/>
        </w:rPr>
        <w:t>“Экспресс авто</w:t>
      </w:r>
      <w:r>
        <w:rPr>
          <w:b/>
          <w:sz w:val="22"/>
          <w:szCs w:val="22"/>
        </w:rPr>
        <w:t xml:space="preserve"> ”</w:t>
      </w:r>
      <w:r>
        <w:rPr>
          <w:sz w:val="22"/>
          <w:szCs w:val="22"/>
        </w:rPr>
        <w:t xml:space="preserve"> о возмездном оказании услуг Заказчику по Договору возмездного оказания услуг </w:t>
      </w:r>
      <w:r>
        <w:rPr>
          <w:b/>
          <w:sz w:val="22"/>
          <w:szCs w:val="22"/>
          <w:highlight w:val="green"/>
        </w:rPr>
        <w:t>№ Д</w:t>
      </w:r>
      <w:r>
        <w:rPr>
          <w:rFonts w:ascii="Times New Roman" w:hAnsi="Times New Roman"/>
          <w:b/>
          <w:bCs/>
          <w:sz w:val="22"/>
          <w:szCs w:val="22"/>
          <w:shd w:val="clear" w:color="auto" w:fill="00FF00"/>
          <w:rtl w:val="0"/>
          <w:lang w:val="en-US"/>
        </w:rPr>
        <w:t>{</w:t>
      </w:r>
      <w:r>
        <w:rPr>
          <w:rFonts w:ascii="PT Serif" w:hAnsi="PT Serif"/>
          <w:sz w:val="22"/>
          <w:szCs w:val="22"/>
          <w:shd w:val="clear" w:color="auto" w:fill="00FF00"/>
          <w:rtl w:val="0"/>
          <w:lang w:val="en-US"/>
        </w:rPr>
        <w:t>{num_doc}}</w:t>
      </w:r>
      <w:r>
        <w:rPr>
          <w:rFonts w:ascii="PT Serif" w:hAnsi="PT Serif"/>
          <w:sz w:val="22"/>
          <w:szCs w:val="22"/>
          <w:rtl w:val="0"/>
          <w:lang w:val="ru-RU"/>
        </w:rPr>
        <w:t xml:space="preserve"> </w:t>
      </w:r>
      <w:r>
        <w:rPr>
          <w:rFonts w:hint="default" w:ascii="Times New Roman" w:hAnsi="Times New Roman"/>
          <w:sz w:val="22"/>
          <w:szCs w:val="22"/>
          <w:shd w:val="clear" w:color="auto" w:fill="00FF00"/>
          <w:rtl w:val="0"/>
          <w:lang w:val="ru-RU"/>
        </w:rPr>
        <w:t xml:space="preserve">от </w:t>
      </w:r>
      <w:r>
        <w:rPr>
          <w:rFonts w:ascii="Times New Roman" w:hAnsi="Times New Roman"/>
          <w:sz w:val="22"/>
          <w:szCs w:val="22"/>
          <w:shd w:val="clear" w:color="auto" w:fill="00FF00"/>
          <w:rtl w:val="0"/>
          <w:lang w:val="en-US"/>
        </w:rPr>
        <w:t>{{date}}</w:t>
      </w:r>
      <w:r>
        <w:rPr>
          <w:rFonts w:hint="default" w:ascii="Times New Roman" w:hAnsi="Times New Roman"/>
          <w:sz w:val="22"/>
          <w:szCs w:val="22"/>
          <w:rtl w:val="0"/>
          <w:lang w:val="ru-RU"/>
        </w:rPr>
        <w:t> </w:t>
      </w:r>
      <w:r>
        <w:rPr>
          <w:sz w:val="22"/>
          <w:szCs w:val="22"/>
          <w:highlight w:val="green"/>
        </w:rPr>
        <w:t> г</w:t>
      </w:r>
      <w:r>
        <w:rPr>
          <w:sz w:val="22"/>
          <w:szCs w:val="22"/>
        </w:rPr>
        <w:t>.:</w:t>
      </w:r>
    </w:p>
    <w:p w14:paraId="58FDA41F">
      <w:pPr>
        <w:widowControl w:val="0"/>
        <w:numPr>
          <w:ilvl w:val="1"/>
          <w:numId w:val="7"/>
        </w:numPr>
        <w:spacing w:line="276" w:lineRule="auto"/>
        <w:ind w:left="1133" w:hanging="566"/>
        <w:rPr>
          <w:sz w:val="22"/>
          <w:szCs w:val="22"/>
        </w:rPr>
      </w:pPr>
      <w:r>
        <w:rPr>
          <w:sz w:val="22"/>
          <w:szCs w:val="22"/>
        </w:rPr>
        <w:t>Предоставление бессрочного доступа к базе знаний из 2 модулей.</w:t>
      </w:r>
    </w:p>
    <w:p w14:paraId="634DD882">
      <w:pPr>
        <w:widowControl w:val="0"/>
        <w:numPr>
          <w:ilvl w:val="1"/>
          <w:numId w:val="7"/>
        </w:numPr>
        <w:spacing w:line="276" w:lineRule="auto"/>
        <w:ind w:left="1133" w:hanging="566"/>
        <w:rPr>
          <w:sz w:val="22"/>
          <w:szCs w:val="22"/>
        </w:rPr>
      </w:pPr>
      <w:r>
        <w:rPr>
          <w:sz w:val="22"/>
          <w:szCs w:val="22"/>
        </w:rPr>
        <w:t>Проведение личных звонков с куратором до 2 раза за период.</w:t>
      </w:r>
    </w:p>
    <w:p w14:paraId="1DF81EA8">
      <w:pPr>
        <w:widowControl w:val="0"/>
        <w:numPr>
          <w:ilvl w:val="1"/>
          <w:numId w:val="7"/>
        </w:numPr>
        <w:spacing w:line="276" w:lineRule="auto"/>
        <w:ind w:left="1133" w:hanging="566"/>
        <w:rPr>
          <w:sz w:val="22"/>
          <w:szCs w:val="22"/>
        </w:rPr>
      </w:pPr>
      <w:r>
        <w:rPr>
          <w:sz w:val="22"/>
          <w:szCs w:val="22"/>
        </w:rPr>
        <w:t>Предоставление бессрочного доступа к группе в мессенджере “Telegram”.</w:t>
      </w:r>
    </w:p>
    <w:p w14:paraId="04A61F12">
      <w:pPr>
        <w:widowControl w:val="0"/>
        <w:numPr>
          <w:ilvl w:val="1"/>
          <w:numId w:val="7"/>
        </w:numPr>
        <w:spacing w:line="276" w:lineRule="auto"/>
        <w:ind w:left="1133" w:hanging="566"/>
        <w:rPr>
          <w:sz w:val="22"/>
          <w:szCs w:val="22"/>
        </w:rPr>
      </w:pPr>
      <w:r>
        <w:rPr>
          <w:sz w:val="22"/>
          <w:szCs w:val="22"/>
        </w:rPr>
        <w:t>Информационная и консультационная поддержка при трудоустройстве.</w:t>
      </w:r>
    </w:p>
    <w:p w14:paraId="3952A241">
      <w:pPr>
        <w:widowControl w:val="0"/>
        <w:numPr>
          <w:ilvl w:val="1"/>
          <w:numId w:val="7"/>
        </w:numPr>
        <w:spacing w:line="276" w:lineRule="auto"/>
        <w:ind w:left="1133" w:hanging="566"/>
        <w:rPr>
          <w:sz w:val="22"/>
          <w:szCs w:val="22"/>
        </w:rPr>
      </w:pPr>
      <w:r>
        <w:rPr>
          <w:sz w:val="22"/>
          <w:szCs w:val="22"/>
        </w:rPr>
        <w:t>Содействие в составлении резюме.</w:t>
      </w:r>
    </w:p>
    <w:p w14:paraId="3E201696">
      <w:pPr>
        <w:widowControl w:val="0"/>
        <w:numPr>
          <w:ilvl w:val="1"/>
          <w:numId w:val="7"/>
        </w:numPr>
        <w:spacing w:line="276" w:lineRule="auto"/>
        <w:ind w:left="1133" w:hanging="566"/>
        <w:rPr>
          <w:sz w:val="22"/>
          <w:szCs w:val="22"/>
        </w:rPr>
      </w:pPr>
      <w:r>
        <w:rPr>
          <w:sz w:val="22"/>
          <w:szCs w:val="22"/>
        </w:rPr>
        <w:t>Проведение разборов собеседований.</w:t>
      </w:r>
    </w:p>
    <w:p w14:paraId="607E3D0E">
      <w:pPr>
        <w:widowControl w:val="0"/>
        <w:numPr>
          <w:ilvl w:val="1"/>
          <w:numId w:val="7"/>
        </w:numPr>
        <w:spacing w:after="200" w:line="276" w:lineRule="auto"/>
        <w:ind w:left="1133" w:hanging="566"/>
        <w:rPr>
          <w:sz w:val="22"/>
          <w:szCs w:val="22"/>
        </w:rPr>
      </w:pPr>
      <w:r>
        <w:rPr>
          <w:sz w:val="22"/>
          <w:szCs w:val="22"/>
        </w:rPr>
        <w:t>Содействие после трудоустройства в форме консультаций и ответов на вопросы в течение 2х месяцев после трудоустройства.</w:t>
      </w:r>
    </w:p>
    <w:p w14:paraId="6DDF5CD8">
      <w:pPr>
        <w:widowControl w:val="0"/>
        <w:numPr>
          <w:ilvl w:val="0"/>
          <w:numId w:val="7"/>
        </w:numPr>
        <w:spacing w:after="200" w:line="276" w:lineRule="auto"/>
        <w:rPr>
          <w:sz w:val="22"/>
          <w:szCs w:val="22"/>
        </w:rPr>
      </w:pPr>
      <w:r>
        <w:rPr>
          <w:sz w:val="22"/>
          <w:szCs w:val="22"/>
        </w:rPr>
        <w:t>Документ составлен и подписан в форме аналогичной Договору и является неотъемлемой частью основного Договора.</w:t>
      </w:r>
    </w:p>
    <w:p w14:paraId="30BD5308">
      <w:pPr>
        <w:widowControl w:val="0"/>
        <w:numPr>
          <w:ilvl w:val="0"/>
          <w:numId w:val="7"/>
        </w:numPr>
        <w:spacing w:after="40" w:line="276" w:lineRule="auto"/>
        <w:rPr>
          <w:sz w:val="22"/>
          <w:szCs w:val="22"/>
        </w:rPr>
      </w:pPr>
      <w:r>
        <w:rPr>
          <w:sz w:val="22"/>
          <w:szCs w:val="22"/>
        </w:rPr>
        <w:t>Настоящий документ вступает в силу с момента его подписания обеими Сторонами.</w:t>
      </w:r>
    </w:p>
    <w:p w14:paraId="4DA808F0">
      <w:pPr>
        <w:widowControl w:val="0"/>
        <w:spacing w:after="40" w:line="276" w:lineRule="auto"/>
        <w:rPr>
          <w:sz w:val="22"/>
          <w:szCs w:val="22"/>
        </w:rPr>
      </w:pPr>
    </w:p>
    <w:tbl>
      <w:tblPr>
        <w:tblStyle w:val="16"/>
        <w:tblpPr w:leftFromText="180" w:rightFromText="180" w:topFromText="180" w:bottomFromText="180" w:vertAnchor="text" w:tblpX="139" w:tblpY="1"/>
        <w:tblW w:w="934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05"/>
        <w:gridCol w:w="450"/>
        <w:gridCol w:w="3090"/>
        <w:gridCol w:w="1680"/>
        <w:gridCol w:w="1350"/>
        <w:gridCol w:w="1470"/>
      </w:tblGrid>
      <w:tr w14:paraId="7DC67F71">
        <w:trPr>
          <w:trHeight w:val="1515" w:hRule="atLeast"/>
        </w:trPr>
        <w:tc>
          <w:tcPr>
            <w:tcW w:w="4845" w:type="dxa"/>
            <w:gridSpan w:val="3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EE3AC">
            <w:pPr>
              <w:widowControl w:val="0"/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Исполнитель</w:t>
            </w:r>
          </w:p>
          <w:p w14:paraId="5D75E2F8">
            <w:pPr>
              <w:widowControl w:val="0"/>
              <w:spacing w:line="276" w:lineRule="auto"/>
              <w:ind w:left="3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</w:p>
          <w:p w14:paraId="3801216F">
            <w:pPr>
              <w:spacing w:line="276" w:lineRule="auto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</w:rPr>
              <w:t>ИП Омелаенко Роман Станиславович</w:t>
            </w:r>
          </w:p>
          <w:p w14:paraId="77098496">
            <w:pPr>
              <w:widowControl w:val="0"/>
              <w:spacing w:line="276" w:lineRule="auto"/>
              <w:ind w:left="32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4500" w:type="dxa"/>
            <w:gridSpan w:val="3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450E3C">
            <w:pPr>
              <w:widowControl w:val="0"/>
              <w:spacing w:line="276" w:lineRule="auto"/>
              <w:ind w:left="3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Заказчик</w:t>
            </w:r>
          </w:p>
          <w:p w14:paraId="6CBEE643">
            <w:pPr>
              <w:widowControl w:val="0"/>
              <w:spacing w:line="276" w:lineRule="auto"/>
              <w:ind w:left="3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</w:p>
          <w:p w14:paraId="681F5692">
            <w:pPr>
              <w:widowControl w:val="0"/>
              <w:spacing w:after="80" w:line="276" w:lineRule="auto"/>
              <w:ind w:left="320"/>
              <w:rPr>
                <w:sz w:val="22"/>
                <w:szCs w:val="22"/>
                <w:highlight w:val="green"/>
              </w:rPr>
            </w:pPr>
            <w:r>
              <w:rPr>
                <w:sz w:val="22"/>
                <w:szCs w:val="22"/>
                <w:highlight w:val="green"/>
              </w:rPr>
              <w:t>{{</w:t>
            </w:r>
            <w:r>
              <w:rPr>
                <w:rFonts w:hint="default"/>
                <w:sz w:val="22"/>
                <w:szCs w:val="22"/>
                <w:highlight w:val="green"/>
                <w:lang w:val="en-US"/>
              </w:rPr>
              <w:t>fio</w:t>
            </w:r>
            <w:r>
              <w:rPr>
                <w:sz w:val="22"/>
                <w:szCs w:val="22"/>
                <w:highlight w:val="green"/>
              </w:rPr>
              <w:t>}}</w:t>
            </w:r>
          </w:p>
          <w:p w14:paraId="79D8BC77">
            <w:pPr>
              <w:widowControl w:val="0"/>
              <w:spacing w:after="80" w:line="276" w:lineRule="auto"/>
              <w:ind w:left="3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</w:p>
        </w:tc>
      </w:tr>
      <w:tr w14:paraId="6FC371E3">
        <w:trPr>
          <w:trHeight w:val="524" w:hRule="atLeast"/>
        </w:trPr>
        <w:tc>
          <w:tcPr>
            <w:tcW w:w="4845" w:type="dxa"/>
            <w:gridSpan w:val="3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Mar>
              <w:top w:w="0" w:type="dxa"/>
              <w:bottom w:w="0" w:type="dxa"/>
            </w:tcMar>
          </w:tcPr>
          <w:p w14:paraId="1CED159C">
            <w:pPr>
              <w:widowControl w:val="0"/>
              <w:spacing w:after="160" w:line="276" w:lineRule="auto"/>
              <w:rPr>
                <w:b/>
                <w:sz w:val="22"/>
                <w:szCs w:val="22"/>
              </w:rPr>
            </w:pPr>
            <w:r>
              <w:rPr>
                <w:sz w:val="20"/>
                <w:szCs w:val="20"/>
              </w:rPr>
              <w:t xml:space="preserve">_______________ / </w:t>
            </w:r>
            <w:r>
              <w:rPr>
                <w:b/>
                <w:sz w:val="22"/>
                <w:szCs w:val="22"/>
              </w:rPr>
              <w:t>Омелаенко Р. С.</w:t>
            </w:r>
          </w:p>
        </w:tc>
        <w:tc>
          <w:tcPr>
            <w:tcW w:w="4500" w:type="dxa"/>
            <w:gridSpan w:val="3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Mar>
              <w:top w:w="0" w:type="dxa"/>
              <w:bottom w:w="0" w:type="dxa"/>
            </w:tcMar>
          </w:tcPr>
          <w:p w14:paraId="6F0AF15F">
            <w:pPr>
              <w:widowControl w:val="0"/>
              <w:spacing w:after="160" w:line="276" w:lineRule="auto"/>
              <w:ind w:left="320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_______________ / </w:t>
            </w:r>
            <w:r>
              <w:rPr>
                <w:rFonts w:hint="default"/>
                <w:sz w:val="20"/>
                <w:szCs w:val="20"/>
                <w:lang w:val="en-US"/>
              </w:rPr>
              <w:t>{{fio}}</w:t>
            </w:r>
          </w:p>
        </w:tc>
      </w:tr>
      <w:tr w14:paraId="270585CE">
        <w:trPr>
          <w:trHeight w:val="315" w:hRule="atLeast"/>
        </w:trPr>
        <w:tc>
          <w:tcPr>
            <w:tcW w:w="130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Mar>
              <w:top w:w="0" w:type="dxa"/>
              <w:bottom w:w="0" w:type="dxa"/>
            </w:tcMar>
          </w:tcPr>
          <w:p w14:paraId="0BEEAF09">
            <w:pPr>
              <w:widowControl w:val="0"/>
              <w:spacing w:after="160" w:line="276" w:lineRule="auto"/>
              <w:jc w:val="center"/>
              <w:rPr>
                <w:sz w:val="20"/>
                <w:szCs w:val="20"/>
              </w:rPr>
            </w:pPr>
            <w:r>
              <w:rPr>
                <w:i/>
                <w:color w:val="666666"/>
                <w:sz w:val="16"/>
                <w:szCs w:val="16"/>
              </w:rPr>
              <w:t>ПОДПИСЬ</w:t>
            </w:r>
          </w:p>
        </w:tc>
        <w:tc>
          <w:tcPr>
            <w:tcW w:w="45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Mar>
              <w:top w:w="0" w:type="dxa"/>
              <w:bottom w:w="0" w:type="dxa"/>
            </w:tcMar>
          </w:tcPr>
          <w:p w14:paraId="76B0D8BD">
            <w:pPr>
              <w:widowControl w:val="0"/>
              <w:spacing w:after="160" w:line="276" w:lineRule="auto"/>
              <w:rPr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Mar>
              <w:top w:w="0" w:type="dxa"/>
              <w:bottom w:w="0" w:type="dxa"/>
            </w:tcMar>
          </w:tcPr>
          <w:p w14:paraId="0BAC83CE">
            <w:pPr>
              <w:widowControl w:val="0"/>
              <w:spacing w:after="160" w:line="276" w:lineRule="auto"/>
              <w:rPr>
                <w:rFonts w:hint="default"/>
                <w:i/>
                <w:color w:val="666666"/>
                <w:sz w:val="16"/>
                <w:szCs w:val="16"/>
                <w:lang w:val="ru-RU"/>
              </w:rPr>
            </w:pPr>
            <w:r>
              <w:rPr>
                <w:rFonts w:hint="default"/>
                <w:i/>
                <w:color w:val="666666"/>
                <w:sz w:val="16"/>
                <w:szCs w:val="16"/>
                <w:lang w:val="ru-RU"/>
              </w:rPr>
              <w:t>ФИО</w:t>
            </w:r>
          </w:p>
        </w:tc>
        <w:tc>
          <w:tcPr>
            <w:tcW w:w="168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Mar>
              <w:top w:w="0" w:type="dxa"/>
              <w:bottom w:w="0" w:type="dxa"/>
            </w:tcMar>
          </w:tcPr>
          <w:p w14:paraId="7E58DACA">
            <w:pPr>
              <w:widowControl w:val="0"/>
              <w:spacing w:after="160" w:line="276" w:lineRule="auto"/>
              <w:ind w:left="320"/>
              <w:jc w:val="center"/>
              <w:rPr>
                <w:sz w:val="20"/>
                <w:szCs w:val="20"/>
              </w:rPr>
            </w:pPr>
            <w:r>
              <w:rPr>
                <w:i/>
                <w:color w:val="666666"/>
                <w:sz w:val="16"/>
                <w:szCs w:val="16"/>
              </w:rPr>
              <w:t>П</w:t>
            </w:r>
            <w:bookmarkStart w:id="8" w:name="_GoBack"/>
            <w:bookmarkEnd w:id="8"/>
            <w:r>
              <w:rPr>
                <w:i/>
                <w:color w:val="666666"/>
                <w:sz w:val="16"/>
                <w:szCs w:val="16"/>
              </w:rPr>
              <w:t>ОДПИСЬ</w:t>
            </w:r>
          </w:p>
        </w:tc>
        <w:tc>
          <w:tcPr>
            <w:tcW w:w="135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Mar>
              <w:top w:w="0" w:type="dxa"/>
              <w:bottom w:w="0" w:type="dxa"/>
            </w:tcMar>
          </w:tcPr>
          <w:p w14:paraId="7341606D">
            <w:pPr>
              <w:widowControl w:val="0"/>
              <w:spacing w:after="160" w:line="276" w:lineRule="auto"/>
              <w:ind w:left="320"/>
              <w:jc w:val="center"/>
              <w:rPr>
                <w:rFonts w:hint="default"/>
                <w:sz w:val="20"/>
                <w:szCs w:val="20"/>
                <w:lang w:val="ru-RU"/>
              </w:rPr>
            </w:pPr>
            <w:r>
              <w:rPr>
                <w:rFonts w:hint="default" w:ascii="Times New Roman Italic" w:hAnsi="Times New Roman Italic" w:cs="Times New Roman Italic"/>
                <w:i/>
                <w:iCs/>
                <w:sz w:val="16"/>
                <w:szCs w:val="16"/>
                <w:lang w:val="ru-RU"/>
              </w:rPr>
              <w:t>ФИО</w:t>
            </w:r>
          </w:p>
        </w:tc>
        <w:tc>
          <w:tcPr>
            <w:tcW w:w="147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Mar>
              <w:top w:w="0" w:type="dxa"/>
              <w:bottom w:w="0" w:type="dxa"/>
            </w:tcMar>
          </w:tcPr>
          <w:p w14:paraId="00248DC9">
            <w:pPr>
              <w:widowControl w:val="0"/>
              <w:spacing w:after="160" w:line="276" w:lineRule="auto"/>
              <w:ind w:left="320"/>
              <w:jc w:val="center"/>
              <w:rPr>
                <w:i/>
                <w:color w:val="666666"/>
                <w:sz w:val="16"/>
                <w:szCs w:val="16"/>
              </w:rPr>
            </w:pPr>
          </w:p>
        </w:tc>
      </w:tr>
    </w:tbl>
    <w:p w14:paraId="58AC1C23">
      <w:pPr>
        <w:widowControl w:val="0"/>
        <w:spacing w:after="40" w:line="276" w:lineRule="auto"/>
        <w:rPr>
          <w:sz w:val="22"/>
          <w:szCs w:val="22"/>
        </w:rPr>
      </w:pPr>
    </w:p>
    <w:sectPr>
      <w:footerReference r:id="rId4" w:type="default"/>
      <w:headerReference r:id="rId3" w:type="even"/>
      <w:footerReference r:id="rId5" w:type="even"/>
      <w:pgSz w:w="11900" w:h="16840"/>
      <w:pgMar w:top="1133" w:right="850" w:bottom="1133" w:left="1133" w:header="709" w:footer="85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  <w:embedRegular r:id="rId1" w:fontKey="{83649360-4796-ED9E-6A06-186920265D23}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CC"/>
    <w:family w:val="roman"/>
    <w:pitch w:val="default"/>
    <w:sig w:usb0="00000287" w:usb1="00000000" w:usb2="00000000" w:usb3="00000000" w:csb0="2000009F" w:csb1="00000000"/>
  </w:font>
  <w:font w:name="PT Serif">
    <w:panose1 w:val="020A0603040505020204"/>
    <w:charset w:val="CC"/>
    <w:family w:val="roman"/>
    <w:pitch w:val="default"/>
    <w:sig w:usb0="A00002EF" w:usb1="5000204B" w:usb2="00000000" w:usb3="00000000" w:csb0="20000097" w:csb1="00000000"/>
    <w:embedRegular r:id="rId2" w:fontKey="{6CAE523C-B538-5730-6A06-1869B61EC357}"/>
  </w:font>
  <w:font w:name="Cambria">
    <w:panose1 w:val="02040503050406030204"/>
    <w:charset w:val="CC"/>
    <w:family w:val="roman"/>
    <w:pitch w:val="default"/>
    <w:sig w:usb0="E00002FF" w:usb1="400004FF" w:usb2="00000000" w:usb3="00000000" w:csb0="2000019F" w:csb1="00000000"/>
    <w:embedRegular r:id="rId3" w:fontKey="{67F13687-A40D-A96C-6A06-1869A3FF5E2C}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T Serif">
    <w:panose1 w:val="020A0603040505020204"/>
    <w:charset w:val="00"/>
    <w:family w:val="roman"/>
    <w:pitch w:val="default"/>
    <w:sig w:usb0="A00002EF" w:usb1="5000204B" w:usb2="00000000" w:usb3="00000000" w:csb0="20000097" w:csb1="00000000"/>
    <w:embedRegular r:id="rId4" w:fontKey="{611DEBC6-0685-7B3C-6A06-186905E20D5A}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  <w:embedRegular r:id="rId5" w:fontKey="{D4AA6490-5A58-CF19-6A06-18690FB8A998}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4F4A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  <w:p w14:paraId="52F16447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  <w:jc w:val="center"/>
      <w:rPr>
        <w:rFonts w:ascii="Cambria" w:hAnsi="Cambria" w:eastAsia="Cambria" w:cs="Cambr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D9DD3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jc w:val="center"/>
      <w:rPr>
        <w:color w:val="666666"/>
      </w:rPr>
    </w:pPr>
    <w:r>
      <w:rPr>
        <w:color w:val="666666"/>
      </w:rPr>
      <w:fldChar w:fldCharType="begin"/>
    </w:r>
    <w:r>
      <w:rPr>
        <w:color w:val="666666"/>
      </w:rPr>
      <w:instrText xml:space="preserve">PAGE</w:instrText>
    </w:r>
    <w:r>
      <w:rPr>
        <w:color w:val="666666"/>
      </w:rPr>
      <w:fldChar w:fldCharType="separate"/>
    </w:r>
    <w:r>
      <w:rPr>
        <w:color w:val="666666"/>
      </w:rPr>
      <w:t>2</w:t>
    </w:r>
    <w:r>
      <w:rPr>
        <w:color w:val="666666"/>
      </w:rPr>
      <w:fldChar w:fldCharType="end"/>
    </w:r>
  </w:p>
  <w:p w14:paraId="1B945EE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6A3A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A6CA5"/>
    <w:multiLevelType w:val="multilevel"/>
    <w:tmpl w:val="EFBA6CA5"/>
    <w:lvl w:ilvl="0" w:tentative="0">
      <w:start w:val="1"/>
      <w:numFmt w:val="bullet"/>
      <w:lvlText w:val="●"/>
      <w:lvlJc w:val="left"/>
      <w:pPr>
        <w:ind w:left="1417" w:hanging="42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○"/>
      <w:lvlJc w:val="left"/>
      <w:pPr>
        <w:ind w:left="2137" w:hanging="42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■"/>
      <w:lvlJc w:val="left"/>
      <w:pPr>
        <w:ind w:left="2857" w:hanging="42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●"/>
      <w:lvlJc w:val="left"/>
      <w:pPr>
        <w:ind w:left="3577" w:hanging="42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○"/>
      <w:lvlJc w:val="left"/>
      <w:pPr>
        <w:ind w:left="4297" w:hanging="42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■"/>
      <w:lvlJc w:val="left"/>
      <w:pPr>
        <w:ind w:left="5017" w:hanging="42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●"/>
      <w:lvlJc w:val="left"/>
      <w:pPr>
        <w:ind w:left="5737" w:hanging="42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○"/>
      <w:lvlJc w:val="left"/>
      <w:pPr>
        <w:ind w:left="6457" w:hanging="42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■"/>
      <w:lvlJc w:val="left"/>
      <w:pPr>
        <w:ind w:left="7177" w:hanging="425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0DDB3700"/>
    <w:multiLevelType w:val="multilevel"/>
    <w:tmpl w:val="0DDB3700"/>
    <w:lvl w:ilvl="0" w:tentative="0">
      <w:start w:val="1"/>
      <w:numFmt w:val="decimal"/>
      <w:lvlText w:val="%1."/>
      <w:lvlJc w:val="left"/>
      <w:pPr>
        <w:ind w:left="425" w:hanging="42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0E755DCF"/>
    <w:multiLevelType w:val="multilevel"/>
    <w:tmpl w:val="0E755DCF"/>
    <w:lvl w:ilvl="0" w:tentative="0">
      <w:start w:val="1"/>
      <w:numFmt w:val="bullet"/>
      <w:lvlText w:val="●"/>
      <w:lvlJc w:val="left"/>
      <w:pPr>
        <w:ind w:left="1440" w:hanging="360"/>
      </w:pPr>
      <w:rPr>
        <w:sz w:val="18"/>
        <w:szCs w:val="18"/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377F384B"/>
    <w:multiLevelType w:val="multilevel"/>
    <w:tmpl w:val="377F384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4CF6C59"/>
    <w:multiLevelType w:val="multilevel"/>
    <w:tmpl w:val="44CF6C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9B9703A"/>
    <w:multiLevelType w:val="multilevel"/>
    <w:tmpl w:val="49B9703A"/>
    <w:lvl w:ilvl="0" w:tentative="0">
      <w:start w:val="1"/>
      <w:numFmt w:val="decimal"/>
      <w:lvlText w:val="%1."/>
      <w:lvlJc w:val="left"/>
      <w:pPr>
        <w:ind w:left="567" w:hanging="567"/>
      </w:pPr>
      <w:rPr>
        <w:b/>
        <w:smallCaps w:val="0"/>
        <w:strike w:val="0"/>
        <w:sz w:val="22"/>
        <w:szCs w:val="22"/>
        <w:shd w:val="clear" w:color="auto" w:fill="auto"/>
        <w:vertAlign w:val="baseline"/>
      </w:rPr>
    </w:lvl>
    <w:lvl w:ilvl="1" w:tentative="0">
      <w:start w:val="1"/>
      <w:numFmt w:val="decimal"/>
      <w:lvlText w:val="%1.%2."/>
      <w:lvlJc w:val="left"/>
      <w:pPr>
        <w:ind w:left="850" w:hanging="850"/>
      </w:pPr>
      <w:rPr>
        <w:rFonts w:ascii="PT Serif" w:hAnsi="PT Serif" w:eastAsia="PT Serif" w:cs="PT Serif"/>
        <w:b w:val="0"/>
        <w:smallCaps w:val="0"/>
        <w:strike w:val="0"/>
        <w:sz w:val="22"/>
        <w:szCs w:val="22"/>
        <w:shd w:val="clear" w:color="auto" w:fill="auto"/>
        <w:vertAlign w:val="baseline"/>
      </w:rPr>
    </w:lvl>
    <w:lvl w:ilvl="2" w:tentative="0">
      <w:start w:val="1"/>
      <w:numFmt w:val="decimal"/>
      <w:lvlText w:val="%1.%2.%3."/>
      <w:lvlJc w:val="left"/>
      <w:pPr>
        <w:ind w:left="850" w:hanging="850"/>
      </w:pPr>
      <w:rPr>
        <w:b w:val="0"/>
        <w:smallCaps w:val="0"/>
        <w:strike w:val="0"/>
        <w:shd w:val="clear" w:color="auto" w:fill="auto"/>
        <w:vertAlign w:val="baseline"/>
      </w:rPr>
    </w:lvl>
    <w:lvl w:ilvl="3" w:tentative="0">
      <w:start w:val="1"/>
      <w:numFmt w:val="decimal"/>
      <w:lvlText w:val="%1.%2.%3.%4."/>
      <w:lvlJc w:val="left"/>
      <w:pPr>
        <w:ind w:left="1200" w:hanging="120"/>
      </w:pPr>
      <w:rPr>
        <w:b/>
        <w:smallCaps w:val="0"/>
        <w:strike w:val="0"/>
        <w:shd w:val="clear" w:color="auto" w:fill="auto"/>
        <w:vertAlign w:val="baseline"/>
      </w:rPr>
    </w:lvl>
    <w:lvl w:ilvl="4" w:tentative="0">
      <w:start w:val="1"/>
      <w:numFmt w:val="decimal"/>
      <w:lvlText w:val="%1.%2.%3.%4.%5."/>
      <w:lvlJc w:val="left"/>
      <w:pPr>
        <w:ind w:left="1560" w:hanging="120"/>
      </w:pPr>
      <w:rPr>
        <w:b/>
        <w:smallCaps w:val="0"/>
        <w:strike w:val="0"/>
        <w:shd w:val="clear" w:color="auto" w:fill="auto"/>
        <w:vertAlign w:val="baseline"/>
      </w:rPr>
    </w:lvl>
    <w:lvl w:ilvl="5" w:tentative="0">
      <w:start w:val="1"/>
      <w:numFmt w:val="decimal"/>
      <w:lvlText w:val="%1.%2.%3.%4.%5.%6."/>
      <w:lvlJc w:val="left"/>
      <w:pPr>
        <w:ind w:left="1920" w:hanging="120"/>
      </w:pPr>
      <w:rPr>
        <w:b/>
        <w:smallCaps w:val="0"/>
        <w:strike w:val="0"/>
        <w:shd w:val="clear" w:color="auto" w:fill="auto"/>
        <w:vertAlign w:val="baseline"/>
      </w:rPr>
    </w:lvl>
    <w:lvl w:ilvl="6" w:tentative="0">
      <w:start w:val="1"/>
      <w:numFmt w:val="decimal"/>
      <w:lvlText w:val="%1.%2.%3.%4.%5.%6.%7."/>
      <w:lvlJc w:val="left"/>
      <w:pPr>
        <w:ind w:left="2280" w:hanging="120"/>
      </w:pPr>
      <w:rPr>
        <w:b/>
        <w:smallCaps w:val="0"/>
        <w:strike w:val="0"/>
        <w:shd w:val="clear" w:color="auto" w:fill="auto"/>
        <w:vertAlign w:val="baseline"/>
      </w:rPr>
    </w:lvl>
    <w:lvl w:ilvl="7" w:tentative="0">
      <w:start w:val="1"/>
      <w:numFmt w:val="decimal"/>
      <w:lvlText w:val="%1.%2.%3.%4.%5.%6.%7.%8."/>
      <w:lvlJc w:val="left"/>
      <w:pPr>
        <w:ind w:left="2640" w:hanging="120"/>
      </w:pPr>
      <w:rPr>
        <w:b/>
        <w:smallCaps w:val="0"/>
        <w:strike w:val="0"/>
        <w:shd w:val="clear" w:color="auto" w:fill="auto"/>
        <w:vertAlign w:val="baseline"/>
      </w:rPr>
    </w:lvl>
    <w:lvl w:ilvl="8" w:tentative="0">
      <w:start w:val="1"/>
      <w:numFmt w:val="decimal"/>
      <w:lvlText w:val="%1.%2.%3.%4.%5.%6.%7.%8.%9."/>
      <w:lvlJc w:val="left"/>
      <w:pPr>
        <w:ind w:left="3000" w:hanging="120"/>
      </w:pPr>
      <w:rPr>
        <w:b/>
        <w:smallCaps w:val="0"/>
        <w:strike w:val="0"/>
        <w:shd w:val="clear" w:color="auto" w:fill="auto"/>
        <w:vertAlign w:val="baseline"/>
      </w:rPr>
    </w:lvl>
  </w:abstractNum>
  <w:abstractNum w:abstractNumId="6">
    <w:nsid w:val="7C7E4AF7"/>
    <w:multiLevelType w:val="multilevel"/>
    <w:tmpl w:val="7C7E4AF7"/>
    <w:lvl w:ilvl="0" w:tentative="0">
      <w:start w:val="1"/>
      <w:numFmt w:val="bullet"/>
      <w:lvlText w:val="●"/>
      <w:lvlJc w:val="left"/>
      <w:pPr>
        <w:ind w:left="1275" w:hanging="360"/>
      </w:pPr>
      <w:rPr>
        <w:sz w:val="20"/>
        <w:szCs w:val="2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TrueTypeFonts/>
  <w:documentProtection w:enforcement="0"/>
  <w:defaultTabStop w:val="720"/>
  <w:evenAndOddHeaders w:val="1"/>
  <w:characterSpacingControl w:val="doNotCompress"/>
  <w:compat>
    <w:compatSetting w:name="compatibilityMode" w:uri="http://schemas.microsoft.com/office/word" w:val="14"/>
  </w:compat>
  <w:rsids>
    <w:rsidRoot w:val="005C50E4"/>
    <w:rsid w:val="00177C7E"/>
    <w:rsid w:val="005C50E4"/>
    <w:rsid w:val="00861B9D"/>
    <w:rsid w:val="00A24696"/>
    <w:rsid w:val="00AB4388"/>
    <w:rsid w:val="00EE1805"/>
    <w:rsid w:val="BFEF9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3"/>
    <w:basedOn w:val="12"/>
    <w:uiPriority w:val="0"/>
  </w:style>
  <w:style w:type="table" w:customStyle="1" w:styleId="15">
    <w:name w:val="_Style 14"/>
    <w:basedOn w:val="12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">
    <w:name w:val="_Style 15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2116</Words>
  <Characters>12064</Characters>
  <Lines>100</Lines>
  <Paragraphs>28</Paragraphs>
  <TotalTime>1</TotalTime>
  <ScaleCrop>false</ScaleCrop>
  <LinksUpToDate>false</LinksUpToDate>
  <CharactersWithSpaces>14152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2025-10-29T15:26:00Z</dcterms:created>
  <dc:creator>Дарья Орлова</dc:creator>
  <cp:lastModifiedBy>denisbubnov</cp:lastModifiedBy>
  <dcterms:modified xsi:type="dcterms:W3CDTF">2025-11-15T11:49:46Z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EECEC8BDADD550DD6A0618697172C5F6_42</vt:lpwstr>
  </property>
</Properties>
</file>