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right="0" w:hanging="0"/>
        <w:rPr>
          <w:rFonts w:ascii="Century Gothic" w:hAnsi="Century Gothic" w:eastAsia="Century Gothic" w:cs="Century Gothic"/>
          <w:color w:val="FF9900"/>
          <w:sz w:val="112"/>
          <w:szCs w:val="112"/>
        </w:rPr>
      </w:pPr>
      <w:r>
        <w:rPr>
          <w:rFonts w:eastAsia="Century Gothic" w:cs="Century Gothic" w:ascii="Century Gothic" w:hAnsi="Century Gothic"/>
          <w:color w:val="FF9900"/>
          <w:sz w:val="112"/>
          <w:szCs w:val="112"/>
        </w:rPr>
      </w:r>
    </w:p>
    <w:p>
      <w:pPr>
        <w:pStyle w:val="Normal"/>
        <w:ind w:left="-540" w:right="0" w:hanging="0"/>
        <w:rPr>
          <w:rFonts w:ascii="Century Gothic" w:hAnsi="Century Gothic" w:cs="Century Gothic"/>
          <w:b/>
          <w:b/>
          <w:color w:val="FF9900"/>
          <w:sz w:val="112"/>
          <w:szCs w:val="112"/>
        </w:rPr>
      </w:pPr>
      <w: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4472940</wp:posOffset>
            </wp:positionH>
            <wp:positionV relativeFrom="paragraph">
              <wp:posOffset>85090</wp:posOffset>
            </wp:positionV>
            <wp:extent cx="1126490" cy="112649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" t="-55" r="-55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FF9900"/>
          <w:sz w:val="112"/>
          <w:szCs w:val="112"/>
        </w:rPr>
        <w:t xml:space="preserve"> </w:t>
      </w:r>
      <w:r>
        <w:rPr>
          <w:rFonts w:cs="Century Gothic" w:ascii="Century Gothic" w:hAnsi="Century Gothic"/>
          <w:b/>
          <w:color w:val="FF9900"/>
          <w:sz w:val="112"/>
          <w:szCs w:val="112"/>
        </w:rPr>
        <w:t>Komet Kevin</w:t>
      </w:r>
    </w:p>
    <w:p>
      <w:pPr>
        <w:pStyle w:val="Normal"/>
        <w:jc w:val="center"/>
        <w:rPr/>
      </w:pPr>
      <w:r>
        <w:rPr>
          <w:rFonts w:eastAsia="Century Gothic" w:cs="Century Gothic" w:ascii="Century Gothic" w:hAnsi="Century Gothic"/>
          <w:b/>
          <w:color w:val="FF9900"/>
          <w:sz w:val="40"/>
          <w:szCs w:val="40"/>
        </w:rPr>
        <w:t xml:space="preserve">  </w:t>
      </w:r>
      <w:r>
        <w:rPr>
          <w:rFonts w:cs="Century Gothic" w:ascii="Century Gothic" w:hAnsi="Century Gothic"/>
          <w:b/>
          <w:color w:val="FF9900"/>
          <w:sz w:val="40"/>
          <w:szCs w:val="40"/>
        </w:rPr>
        <w:tab/>
        <w:t xml:space="preserve">    </w:t>
      </w:r>
      <w:r>
        <w:rPr>
          <w:rFonts w:cs="Century Gothic" w:ascii="Century Gothic" w:hAnsi="Century Gothic"/>
          <w:b/>
          <w:sz w:val="40"/>
          <w:szCs w:val="40"/>
        </w:rPr>
        <w:t>Proyecto Software</w:t>
      </w:r>
    </w:p>
    <w:p>
      <w:pPr>
        <w:pStyle w:val="Normal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ind w:left="180" w:right="0" w:hanging="0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</w:r>
    </w:p>
    <w:p>
      <w:pPr>
        <w:pStyle w:val="Normal"/>
        <w:ind w:left="180" w:right="0" w:hanging="0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</w:r>
    </w:p>
    <w:p>
      <w:pPr>
        <w:pStyle w:val="Normal"/>
        <w:rPr>
          <w:rFonts w:ascii="Century Gothic" w:hAnsi="Century Gothic" w:cs="Century Gothic"/>
          <w:sz w:val="36"/>
          <w:szCs w:val="36"/>
        </w:rPr>
      </w:pPr>
      <w:r>
        <w:rPr>
          <w:rFonts w:cs="Century Gothic" w:ascii="Century Gothic" w:hAnsi="Century Gothic"/>
          <w:sz w:val="36"/>
          <w:szCs w:val="36"/>
        </w:rPr>
        <w:br/>
        <w:t>Planificación de coste</w:t>
      </w:r>
    </w:p>
    <w:p>
      <w:pPr>
        <w:pStyle w:val="Normal"/>
        <w:ind w:left="180" w:right="0" w:hanging="0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</w:r>
    </w:p>
    <w:p>
      <w:pPr>
        <w:pStyle w:val="Normal"/>
        <w:rPr>
          <w:rFonts w:ascii="Century Gothic" w:hAnsi="Century Gothic" w:cs="Century Gothic"/>
          <w:sz w:val="22"/>
          <w:szCs w:val="22"/>
        </w:rPr>
      </w:pPr>
      <w:r>
        <w:rPr>
          <w:rFonts w:cs="Century Gothic" w:ascii="Century Gothic" w:hAnsi="Century Gothic"/>
          <w:sz w:val="22"/>
          <w:szCs w:val="22"/>
        </w:rPr>
      </w:r>
    </w:p>
    <w:p>
      <w:pPr>
        <w:pStyle w:val="Normal"/>
        <w:rPr>
          <w:rFonts w:ascii="Century Gothic" w:hAnsi="Century Gothic" w:cs="Century Gothic"/>
          <w:sz w:val="22"/>
          <w:szCs w:val="22"/>
        </w:rPr>
      </w:pPr>
      <w:r>
        <w:rPr>
          <w:rFonts w:cs="Century Gothic" w:ascii="Century Gothic" w:hAnsi="Century Gothic"/>
          <w:sz w:val="22"/>
          <w:szCs w:val="22"/>
        </w:rPr>
      </w:r>
    </w:p>
    <w:p>
      <w:pPr>
        <w:pStyle w:val="Normal"/>
        <w:rPr>
          <w:rFonts w:eastAsia="Arial" w:cs="Calibri"/>
        </w:rPr>
      </w:pPr>
      <w:r>
        <w:rPr>
          <w:rFonts w:eastAsia="Arial" w:cs="Calibri"/>
        </w:rPr>
        <w:tab/>
        <w:tab/>
        <w:tab/>
      </w:r>
    </w:p>
    <w:p>
      <w:pPr>
        <w:pStyle w:val="Normal"/>
        <w:ind w:left="180" w:right="0" w:hanging="0"/>
        <w:jc w:val="right"/>
        <w:rPr>
          <w:rFonts w:eastAsia="Arial" w:cs="Calibri"/>
        </w:rPr>
      </w:pPr>
      <w:r>
        <w:rPr>
          <w:rFonts w:eastAsia="Arial" w:cs="Calibri"/>
        </w:rPr>
        <w:tab/>
        <w:tab/>
        <w:tab/>
        <w:tab/>
      </w:r>
    </w:p>
    <w:p>
      <w:pPr>
        <w:pStyle w:val="Normal"/>
        <w:ind w:left="180" w:right="0" w:hanging="0"/>
        <w:jc w:val="right"/>
        <w:rPr>
          <w:rFonts w:eastAsia="Arial" w:cs="Calibri"/>
          <w:lang w:val="es-ES" w:eastAsia="es-ES"/>
        </w:rPr>
      </w:pPr>
      <w:r>
        <w:rPr>
          <w:rFonts w:eastAsia="Arial" w:cs="Calibri"/>
          <w:lang w:val="es-ES" w:eastAsia="es-ES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1713230" cy="464820"/>
            <wp:effectExtent l="0" t="0" r="0" b="0"/>
            <wp:wrapNone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4" t="-199" r="-54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Autor: </w:t>
      </w:r>
      <w:r>
        <w:rPr>
          <w:rFonts w:cs="Century Gothic" w:ascii="Century Gothic" w:hAnsi="Century Gothic"/>
          <w:sz w:val="20"/>
          <w:szCs w:val="20"/>
        </w:rPr>
        <w:t>Ramiro Woutersen Uriarte</w:t>
      </w:r>
    </w:p>
    <w:p>
      <w:pPr>
        <w:pStyle w:val="Normal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Fecha: </w:t>
      </w:r>
      <w:r>
        <w:rPr>
          <w:rFonts w:cs="Century Gothic" w:ascii="Century Gothic" w:hAnsi="Century Gothic"/>
          <w:sz w:val="20"/>
          <w:szCs w:val="20"/>
        </w:rPr>
        <w:t>¿?</w:t>
      </w:r>
      <w:r>
        <w:rPr>
          <w:rFonts w:cs="Century Gothic" w:ascii="Century Gothic" w:hAnsi="Century Gothic"/>
          <w:sz w:val="20"/>
          <w:szCs w:val="20"/>
        </w:rPr>
        <w:t>-</w:t>
      </w:r>
      <w:r>
        <w:rPr>
          <w:rFonts w:cs="Century Gothic" w:ascii="Century Gothic" w:hAnsi="Century Gothic"/>
          <w:sz w:val="20"/>
          <w:szCs w:val="20"/>
        </w:rPr>
        <w:t>¿</w:t>
      </w:r>
      <w:r>
        <w:rPr>
          <w:rFonts w:cs="Century Gothic" w:ascii="Century Gothic" w:hAnsi="Century Gothic"/>
          <w:sz w:val="20"/>
          <w:szCs w:val="20"/>
        </w:rPr>
        <w:t>?-19</w:t>
      </w:r>
    </w:p>
    <w:p>
      <w:pPr>
        <w:pStyle w:val="Normal"/>
        <w:ind w:left="180" w:right="0" w:hanging="0"/>
        <w:jc w:val="right"/>
        <w:rPr>
          <w:rFonts w:ascii="Century Gothic" w:hAnsi="Century Gothic" w:cs="Century Gothic"/>
          <w:b/>
          <w:b/>
          <w:i/>
          <w:i/>
          <w:sz w:val="22"/>
          <w:szCs w:val="22"/>
        </w:rPr>
      </w:pPr>
      <w:r>
        <w:rPr>
          <w:rFonts w:cs="Century Gothic" w:ascii="Century Gothic" w:hAnsi="Century Gothic"/>
          <w:b/>
          <w:i/>
          <w:sz w:val="22"/>
          <w:szCs w:val="22"/>
        </w:rPr>
        <w:t>Ingeniería Informática | Curso 2018 - 2019.</w:t>
      </w:r>
    </w:p>
    <w:p>
      <w:pPr>
        <w:pStyle w:val="NoSpacing"/>
        <w:rPr>
          <w:rFonts w:ascii="Century Gothic" w:hAnsi="Century Gothic" w:eastAsia="Batang;바탕" w:cs="Century Gothic"/>
          <w:b/>
          <w:b/>
          <w:i/>
          <w:i/>
          <w:sz w:val="28"/>
          <w:szCs w:val="28"/>
          <w:lang w:val="es-ES" w:eastAsia="ko-KR"/>
        </w:rPr>
      </w:pPr>
      <w:r>
        <w:rPr>
          <w:rFonts w:eastAsia="Batang;바탕" w:cs="Century Gothic" w:ascii="Century Gothic" w:hAnsi="Century Gothic"/>
          <w:b/>
          <w:i/>
          <w:sz w:val="28"/>
          <w:szCs w:val="28"/>
          <w:lang w:val="es-ES" w:eastAsia="ko-KR"/>
        </w:rPr>
      </w:r>
    </w:p>
    <w:p>
      <w:pPr>
        <w:pStyle w:val="NoSpacing"/>
        <w:jc w:val="center"/>
        <w:rPr>
          <w:lang w:val="es-ES" w:eastAsia="es-ES"/>
        </w:rPr>
      </w:pPr>
      <w:r>
        <w:rPr>
          <w:lang w:val="es-ES" w:eastAsia="es-ES"/>
        </w:rPr>
        <w:drawing>
          <wp:inline distT="0" distB="0" distL="0" distR="0">
            <wp:extent cx="623570" cy="22352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4" t="-609" r="-214" b="-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/>
      </w:pPr>
      <w:r>
        <w:rPr>
          <w:rFonts w:cs="Source Sans Pro" w:ascii="Source Sans Pro" w:hAnsi="Source Sans Pro"/>
          <w:i/>
          <w:color w:val="464646"/>
          <w:shd w:fill="FFFFFF" w:val="clear"/>
        </w:rPr>
        <w:t>Komet Kevin por Ramiro Woutersen Uriarte , Sergio Langarita Benitez,  Arturo García Enguita,  Denis Florin Cobeti se distribuye bajo una </w:t>
      </w:r>
      <w:hyperlink r:id="rId5">
        <w:r>
          <w:rPr>
            <w:rStyle w:val="EnlacedeInternet"/>
            <w:rFonts w:cs="Source Sans Pro" w:ascii="Source Sans Pro" w:hAnsi="Source Sans Pro"/>
            <w:i/>
            <w:color w:val="049CCF"/>
            <w:highlight w:val="white"/>
          </w:rPr>
          <w:t>licencia de Creative Commons Reconocimiento-NoComercial-SinObraDerivada 4.0 Internacional</w:t>
        </w:r>
      </w:hyperlink>
      <w:r>
        <w:rPr>
          <w:rFonts w:cs="Source Sans Pro" w:ascii="Source Sans Pro" w:hAnsi="Source Sans Pro"/>
          <w:i/>
          <w:color w:val="464646"/>
          <w:shd w:fill="FFFFFF" w:val="clear"/>
        </w:rPr>
        <w:t>.</w:t>
      </w:r>
    </w:p>
    <w:p>
      <w:pPr>
        <w:pStyle w:val="NoSpacing"/>
        <w:jc w:val="right"/>
        <w:rPr>
          <w:rFonts w:eastAsia="Batang;바탕" w:cs="Calibri"/>
          <w:i/>
          <w:i/>
          <w:sz w:val="28"/>
          <w:szCs w:val="28"/>
          <w:lang w:eastAsia="ko-KR"/>
        </w:rPr>
      </w:pPr>
      <w:r>
        <w:rPr>
          <w:rFonts w:eastAsia="Batang;바탕" w:cs="Calibri"/>
          <w:i/>
          <w:sz w:val="28"/>
          <w:szCs w:val="28"/>
          <w:lang w:eastAsia="ko-KR"/>
        </w:rPr>
      </w:r>
    </w:p>
    <w:p>
      <w:pPr>
        <w:pStyle w:val="NoSpacing"/>
        <w:jc w:val="right"/>
        <w:rPr>
          <w:rFonts w:eastAsia="Batang;바탕" w:cs="Calibri"/>
          <w:b/>
          <w:b/>
          <w:i/>
          <w:i/>
          <w:color w:val="FF9900"/>
          <w:sz w:val="28"/>
          <w:szCs w:val="28"/>
          <w:lang w:eastAsia="ko-KR"/>
        </w:rPr>
      </w:pPr>
      <w:r>
        <w:rPr>
          <w:rFonts w:eastAsia="Batang;바탕" w:cs="Calibri"/>
          <w:b/>
          <w:i/>
          <w:color w:val="FF9900"/>
          <w:sz w:val="28"/>
          <w:szCs w:val="28"/>
          <w:lang w:eastAsia="ko-KR"/>
        </w:rPr>
      </w:r>
    </w:p>
    <w:p>
      <w:pPr>
        <w:pStyle w:val="Normal"/>
        <w:autoSpaceDE w:val="false"/>
        <w:rPr>
          <w:rFonts w:ascii="Century Gothic" w:hAnsi="Century Gothic" w:cs="Century Gothic"/>
          <w:b/>
          <w:b/>
          <w:color w:val="FF9900"/>
          <w:sz w:val="28"/>
          <w:szCs w:val="28"/>
        </w:rPr>
      </w:pPr>
      <w:r>
        <w:rPr>
          <w:rFonts w:cs="Century Gothic" w:ascii="Century Gothic" w:hAnsi="Century Gothic"/>
          <w:b/>
          <w:color w:val="FF9900"/>
          <w:sz w:val="28"/>
          <w:szCs w:val="28"/>
        </w:rPr>
        <w:t>Tabla de contenidos</w:t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FF9900"/>
          <w:sz w:val="28"/>
          <w:szCs w:val="28"/>
        </w:rPr>
      </w:pPr>
      <w:r>
        <w:rPr>
          <w:rFonts w:eastAsia="Arial" w:cs="Century Gothic" w:ascii="Century Gothic" w:hAnsi="Century Gothic"/>
          <w:b/>
          <w:color w:val="FF9900"/>
          <w:sz w:val="28"/>
          <w:szCs w:val="28"/>
        </w:rPr>
      </w:r>
    </w:p>
    <w:p>
      <w:pPr>
        <w:pStyle w:val="Sumario2"/>
        <w:tabs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"1-3" \h \z \u </w:instrText>
      </w:r>
      <w:r>
        <w:rPr>
          <w:rStyle w:val="Enlacedelndice"/>
        </w:rPr>
        <w:fldChar w:fldCharType="separate"/>
      </w:r>
      <w:hyperlink w:anchor="__RefHeading___Toc826_1322100828">
        <w:r>
          <w:rPr>
            <w:rStyle w:val="Enlacedelndice"/>
          </w:rPr>
          <w:t>5.- Pruebas previstas</w:t>
          <w:tab/>
          <w:t>3</w:t>
        </w:r>
      </w:hyperlink>
    </w:p>
    <w:p>
      <w:pPr>
        <w:pStyle w:val="Sumario2"/>
        <w:tabs>
          <w:tab w:val="right" w:pos="8504" w:leader="dot"/>
        </w:tabs>
        <w:rPr/>
      </w:pPr>
      <w:hyperlink w:anchor="__RefHeading___Toc5030330">
        <w:r>
          <w:rPr>
            <w:rStyle w:val="Enlacedelndice"/>
          </w:rPr>
          <w:t>5.1.- Pruebas de unidad</w:t>
          <w:tab/>
          <w:t>3</w:t>
        </w:r>
      </w:hyperlink>
    </w:p>
    <w:p>
      <w:pPr>
        <w:pStyle w:val="Sumario2"/>
        <w:tabs>
          <w:tab w:val="right" w:pos="8504" w:leader="dot"/>
        </w:tabs>
        <w:rPr/>
      </w:pPr>
      <w:hyperlink w:anchor="__RefHeading___Toc5030331">
        <w:r>
          <w:rPr>
            <w:rStyle w:val="Enlacedelndice"/>
          </w:rPr>
          <w:t>5.2.- Pruebas de integración</w:t>
          <w:tab/>
          <w:t>3</w:t>
        </w:r>
      </w:hyperlink>
    </w:p>
    <w:p>
      <w:pPr>
        <w:pStyle w:val="Normal"/>
        <w:autoSpaceDE w:val="false"/>
        <w:rPr>
          <w:rFonts w:ascii="Times New Roman" w:hAnsi="Times New Roman" w:eastAsia="Times New Roman" w:cs="Times New Roman"/>
          <w:b/>
          <w:b/>
          <w:color w:val="FF9900"/>
          <w:sz w:val="28"/>
          <w:szCs w:val="28"/>
          <w:lang w:val="es-ES" w:eastAsia="es-ES"/>
        </w:rPr>
      </w:pPr>
      <w:r>
        <w:rPr>
          <w:rFonts w:eastAsia="Times New Roman" w:cs="Times New Roman" w:ascii="Times New Roman" w:hAnsi="Times New Roman"/>
          <w:b/>
          <w:color w:val="FF9900"/>
          <w:sz w:val="28"/>
          <w:szCs w:val="28"/>
          <w:lang w:val="es-ES" w:eastAsia="es-ES"/>
        </w:rPr>
      </w:r>
      <w:r>
        <w:rPr>
          <w:sz w:val="28"/>
          <w:b/>
          <w:szCs w:val="28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ind w:left="-540" w:right="0" w:hanging="0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Times New Roman" w:hAnsi="Times New Roman" w:eastAsia="Times New Roman" w:cs="Times New Roman"/>
          <w:b/>
          <w:b/>
          <w:color w:val="FF9900"/>
          <w:sz w:val="28"/>
          <w:szCs w:val="28"/>
          <w:lang w:val="es-ES" w:eastAsia="es-ES"/>
        </w:rPr>
      </w:pPr>
      <w:r>
        <w:rPr>
          <w:rFonts w:eastAsia="Times New Roman" w:cs="Times New Roman" w:ascii="Times New Roman" w:hAnsi="Times New Roman"/>
          <w:b/>
          <w:color w:val="FF9900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Normal"/>
        <w:autoSpaceDE w:val="false"/>
        <w:rPr>
          <w:rFonts w:ascii="Century Gothic" w:hAnsi="Century Gothic" w:eastAsia="Arial" w:cs="Century Gothic"/>
          <w:b/>
          <w:b/>
          <w:color w:val="3366FF"/>
          <w:sz w:val="28"/>
          <w:szCs w:val="28"/>
          <w:lang w:val="es-ES" w:eastAsia="es-ES"/>
        </w:rPr>
      </w:pPr>
      <w:r>
        <w:rPr>
          <w:rFonts w:eastAsia="Arial" w:cs="Century Gothic" w:ascii="Century Gothic" w:hAnsi="Century Gothic"/>
          <w:b/>
          <w:color w:val="3366FF"/>
          <w:sz w:val="28"/>
          <w:szCs w:val="28"/>
          <w:lang w:val="es-ES" w:eastAsia="es-ES"/>
        </w:rPr>
      </w:r>
    </w:p>
    <w:p>
      <w:pPr>
        <w:pStyle w:val="Ttulo1"/>
        <w:suppressAutoHyphens w:val="true"/>
        <w:rPr>
          <w:rFonts w:ascii="Century Gothic" w:hAnsi="Century Gothic" w:eastAsia="Arial" w:cs="Century Gothic"/>
          <w:b/>
          <w:b/>
          <w:color w:val="3366FF"/>
        </w:rPr>
      </w:pPr>
      <w:r>
        <w:rPr>
          <w:rFonts w:eastAsia="Arial" w:cs="Century Gothic" w:ascii="Century Gothic" w:hAnsi="Century Gothic"/>
          <w:b/>
          <w:color w:val="3366FF"/>
        </w:rPr>
      </w:r>
    </w:p>
    <w:p>
      <w:pPr>
        <w:pStyle w:val="Ttulo1"/>
        <w:suppressAutoHyphens w:val="true"/>
        <w:rPr>
          <w:rFonts w:ascii="Century Gothic" w:hAnsi="Century Gothic" w:eastAsia="Arial" w:cs="Century Gothic"/>
          <w:b/>
          <w:b/>
          <w:color w:val="3366FF"/>
        </w:rPr>
      </w:pPr>
      <w:r>
        <w:rPr>
          <w:rFonts w:eastAsia="Arial" w:cs="Century Gothic" w:ascii="Century Gothic" w:hAnsi="Century Gothic"/>
          <w:b/>
          <w:color w:val="3366FF"/>
        </w:rPr>
      </w:r>
    </w:p>
    <w:p>
      <w:pPr>
        <w:pStyle w:val="Ttulo1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0" w:name="__RefHeading___Toc826_1322100828"/>
      <w:bookmarkEnd w:id="0"/>
      <w:r>
        <w:rPr/>
        <w:t>5</w:t>
      </w:r>
      <w:r>
        <w:rPr/>
        <w:t>.- Pruebas previstas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Dada la naturaleza gráfica de la aplicación no se podrán realizar demasiadas pruebas de unidad. Para este tipo de software en concreto, un videojuego con su motor, van a ser de especial relevancia las pruebas de integración. Debido a la elevada carga de matemática geométrica es preferible su comprobación a nivel visual que mediante la lectura de variables.</w:t>
      </w:r>
    </w:p>
    <w:p>
      <w:pPr>
        <w:pStyle w:val="Ttulo2"/>
        <w:numPr>
          <w:ilvl w:val="1"/>
          <w:numId w:val="1"/>
        </w:numPr>
        <w:suppressAutoHyphens w:val="true"/>
        <w:spacing w:before="280" w:after="280"/>
        <w:rPr/>
      </w:pPr>
      <w:bookmarkStart w:id="1" w:name="__RefHeading___Toc5030330"/>
      <w:bookmarkEnd w:id="1"/>
      <w:r>
        <w:rPr/>
        <w:t>5.1.- Pruebas de unidad</w:t>
      </w:r>
    </w:p>
    <w:p>
      <w:pPr>
        <w:pStyle w:val="Normal"/>
        <w:rPr/>
      </w:pPr>
      <w:r>
        <w:rPr/>
        <w:t>De implementarse (existen múltiples librerías geométricas), la única clases sobre la que se pueden realizar pruebas de unidad es Vector2.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Vector2</w:t>
      </w:r>
    </w:p>
    <w:p>
      <w:pPr>
        <w:pStyle w:val="Normal"/>
        <w:numPr>
          <w:ilvl w:val="0"/>
          <w:numId w:val="2"/>
        </w:numPr>
        <w:rPr/>
      </w:pPr>
      <w:r>
        <w:rPr/>
        <w:t>Tratar de crear, eliminar y editar las dos variables del objeto.</w:t>
      </w:r>
    </w:p>
    <w:p>
      <w:pPr>
        <w:pStyle w:val="Normal"/>
        <w:numPr>
          <w:ilvl w:val="0"/>
          <w:numId w:val="2"/>
        </w:numPr>
        <w:rPr/>
      </w:pPr>
      <w:r>
        <w:rPr/>
        <w:t>Realizar cada una de las operaciones (producto escalar, suma de vectores, multiplicar por k...)  con vectores con valores nulos.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Tratar de asignar a un vector un ángulo superior a </w:t>
      </w:r>
      <w:r>
        <w:rPr>
          <w:rFonts w:cs="Calibri"/>
        </w:rPr>
        <w:t>P</w:t>
      </w:r>
      <w:r>
        <w:rPr/>
        <w:t>I</w:t>
      </w:r>
      <w:r>
        <w:rPr>
          <w:rFonts w:cs="Calibri"/>
        </w:rPr>
        <w:t xml:space="preserve"> o a -PI</w:t>
      </w:r>
    </w:p>
    <w:p>
      <w:pPr>
        <w:pStyle w:val="Ttulo2"/>
        <w:numPr>
          <w:ilvl w:val="1"/>
          <w:numId w:val="1"/>
        </w:numPr>
        <w:suppressAutoHyphens w:val="true"/>
        <w:spacing w:before="280" w:after="280"/>
        <w:rPr/>
      </w:pPr>
      <w:bookmarkStart w:id="2" w:name="__RefHeading___Toc5030331"/>
      <w:bookmarkEnd w:id="2"/>
      <w:r>
        <w:rPr/>
        <w:t>5.2.- Pruebas de integración</w:t>
      </w:r>
    </w:p>
    <w:p>
      <w:pPr>
        <w:pStyle w:val="Normal"/>
        <w:rPr/>
      </w:pPr>
      <w:r>
        <w:rPr/>
        <w:t>Las pruebas de integración son incrementales. Hay 4 clases esenciales que han de implementarse previamente a comenzar con las pruebas de integración que son: GameContainer, Image, Window y Renderer. Una vez codificadas y combinadas ya se cuenta con los cimientos de todo el motor gráfico, hay que asegurarse de: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Correcto dibujado de las formas básicas: punto, recta, circulo y rectángulo</w:t>
      </w:r>
    </w:p>
    <w:p>
      <w:pPr>
        <w:pStyle w:val="Normal"/>
        <w:numPr>
          <w:ilvl w:val="0"/>
          <w:numId w:val="2"/>
        </w:numPr>
        <w:rPr/>
      </w:pPr>
      <w:r>
        <w:rPr/>
        <w:t>Correcto dibujado de imágenes (png) con distintos grados de rotación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partir de este punto son continuas pruebas de integración conforme se añaden clases y se dota de nuevas funcionalidades al motor.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Input</w:t>
      </w:r>
    </w:p>
    <w:p>
      <w:pPr>
        <w:pStyle w:val="Normal"/>
        <w:numPr>
          <w:ilvl w:val="0"/>
          <w:numId w:val="2"/>
        </w:numPr>
        <w:rPr/>
      </w:pPr>
      <w:r>
        <w:rPr/>
        <w:t>Asegurar la detección de las teclas al presionar, mantener y soltar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Tomar coordenadas de la Window con el puntero del ratón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ImageTile</w:t>
      </w:r>
    </w:p>
    <w:p>
      <w:pPr>
        <w:pStyle w:val="Normal"/>
        <w:numPr>
          <w:ilvl w:val="0"/>
          <w:numId w:val="2"/>
        </w:numPr>
        <w:rPr/>
      </w:pPr>
      <w:r>
        <w:rPr/>
        <w:t>Correcto dibujado de imágenes animadas con distintos grados de rotación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SoundClip</w:t>
      </w:r>
    </w:p>
    <w:p>
      <w:pPr>
        <w:pStyle w:val="Normal"/>
        <w:numPr>
          <w:ilvl w:val="0"/>
          <w:numId w:val="2"/>
        </w:numPr>
        <w:rPr/>
      </w:pPr>
      <w:r>
        <w:rPr/>
        <w:t>Reproducir y pausar sonidos empleando los mecanismos del input (teclas y ratón)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Tras estas pruebas ya se tendría un motor grafico básico y se procedería a la integración de GameContainer, GameObject y todas las clases de colisionadores.</w:t>
      </w:r>
    </w:p>
    <w:p>
      <w:pPr>
        <w:pStyle w:val="Normal"/>
        <w:suppressAutoHyphens w:val="true"/>
        <w:rPr/>
      </w:pPr>
      <w:r>
        <w:rPr/>
        <w:t>Debido a la complejidad de los códigos de los colisionadores, se recomienda implementar varios hijos de GameObject con pequeñas funcionalidades para probar y asegurar el correcto funcionamiento de BoxCollider, CircleCollider y RayCollider (se puede recurrir a las primitivas de dibujado de renderer para representarlos). Se deberán realizar 3 pruebas asegurando la correcta interacción entre todos ellos.</w:t>
      </w:r>
    </w:p>
    <w:p>
      <w:pPr>
        <w:pStyle w:val="Ttulo1"/>
        <w:suppressAutoHyphens w:val="true"/>
        <w:rPr/>
      </w:pPr>
      <w:r>
        <w:rPr/>
      </w:r>
    </w:p>
    <w:p>
      <w:pPr>
        <w:pStyle w:val="Normal"/>
        <w:suppressAutoHyphens w:val="true"/>
        <w:spacing w:before="0" w:after="200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DejaVu Sans Mono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roman"/>
    <w:pitch w:val="variable"/>
  </w:font>
  <w:font w:name="Century Gothic">
    <w:charset w:val="00"/>
    <w:family w:val="swiss"/>
    <w:pitch w:val="variable"/>
  </w:font>
  <w:font w:name="Source Sans Pro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DejaVu Sans Mono" w:hAnsi="DejaVu Sans Mono" w:eastAsia="" w:cs="" w:cstheme="majorBidi" w:eastAsiaTheme="majorEastAsia"/>
      <w:b/>
      <w:bCs/>
      <w:color w:val="000000"/>
      <w:sz w:val="36"/>
      <w:szCs w:val="26"/>
    </w:rPr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/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ormal"/>
    <w:next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2">
    <w:name w:val="WW8Num22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reativecommons.org/licenses/by-nc-nd/4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4</Pages>
  <Words>427</Words>
  <Characters>2353</Characters>
  <CharactersWithSpaces>2757</CharactersWithSpaces>
  <Paragraphs>37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2019-05-27T10:54:02Z</dcterms:modified>
  <cp:revision>35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