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добавления продуктов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"quantity"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PUT /api/v1/orders/:id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Ожидается ответ 409 Conflict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Количества продукта становиться отрицательным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