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iCs w:val="1"/>
          <w:sz w:val="20"/>
          <w:szCs w:val="20"/>
          <w:highlight w:val="yellow"/>
          <w:u w:val="none"/>
          <w:rtl w:val="0"/>
        </w:rPr>
        <w:t>Сведения о наличии (отсутствии) зарегистрированного за должником охотничьего или иного вида оружия.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о сделках с оружием, совершённых должником, а также об имуществе (оружии), сданном должником на реализацию, за период трёх лет, предшествующих дате принятия заявления о признании должника банкротом, и по настоящее время.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В случае наличия зарегистрированного оружия прошу указать его вид, марку, модель, калибр, номер, дату регистрации и сведения о выданном разрешении (лицензии).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p w:rsidR="00000000" w:rsidDel="00000000" w:rsidP="00000000" w:rsidRDefault="00000000" w:rsidRPr="00000000" w14:paraId="0000001C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.46456692913387" w:left="1275.5905511811022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