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регистрации должника в целях поиска подходящей работы и (или) в качестве безработного.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назначении, размере и периоде выплаты должнику пособия по безработице и иных выплат, осуществляемых органами службы занятости.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трудоустройстве должника по направлению органов службы занятости, с указанием работодателя и даты трудоустройства.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предоставить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