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ранее зарегистрированном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транспортные средства (заявления, договоры, доверенности и т. д.) за последние 3 года;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транспортных средств, выбывших из владения должника.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3001725</wp:posOffset>
            </wp:positionH>
            <wp:positionV relativeFrom="page">
              <wp:posOffset>9133500</wp:posOffset>
            </wp:positionV>
            <wp:extent cx="1983073" cy="1424962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3073" cy="14249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407.5196850393695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