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/>
          <w:sz w:val="20"/>
          <w:szCs w:val="20"/>
          <w:u w:val="none"/>
          <w:rtl w:val="0"/>
        </w:rPr>
        <w:t>УВЕДОМЛЕНИЕ О ПРАВЕ ПРЕДЪЯВЛЕНИЯ ТРЕБОВАНИЯ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п.4 ст.213.24 ФЗ «О несостоятельности (банкротстве)» в ходе процедуры реализации имущества гражданина требования конкурсных кредиторов и уполномоченного органа подлежат рассмотрению в порядке, предусмотренном статьей 100 настоящего Федерального закона.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п.2 ст.213.8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