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 </w:t>
      </w:r>
    </w:p>
    <w:p w:rsidR="00000000" w:rsidDel="00000000" w:rsidP="00000000" w:rsidRDefault="00000000" w:rsidRPr="00000000" w14:paraId="00000013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</w:t>
        <w:tab/>
        <w:t xml:space="preserve">Сведения о счетах должника в банках и иных кредитных организациях, с которыми должник имеет договор банковского счета, с указанием: наименования счета, его реквизитов, адреса банка или его филиала (в случае наличия счета в филиале).</w:t>
      </w:r>
    </w:p>
    <w:p w:rsidR="00000000" w:rsidDel="00000000" w:rsidP="00000000" w:rsidRDefault="00000000" w:rsidRPr="00000000" w14:paraId="00000014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</w:t>
        <w:tab/>
        <w:t xml:space="preserve">Состояние расчетов с должником   на дату   открытия процедуры реализации имущества, а именно по состоянию на {дата решения}г.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</w:t>
        <w:tab/>
        <w:t xml:space="preserve">Справки 2 НДФЛ за 2017-2019 гг.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B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