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iCs w:val="1"/>
          <w:sz w:val="20"/>
          <w:szCs w:val="20"/>
          <w:highlight w:val="yellow"/>
          <w:u w:val="none"/>
          <w:rtl w:val="0"/>
        </w:rPr>
        <w:t>Сведения о регистрации должника в целях поиска подходящей работы и (или) в качестве безработного.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о назначении, размере и периоде выплаты должнику пособия по безработице и иных выплат, осуществляемых органами службы занятости.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о трудоустройстве должника по направлению органов службы занятости, с указанием работодателя и даты трудоустройства.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предоставить за период трёх лет, предшествующих дате принятия заявления о признании должника банкротом, и по настоящее время.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sectPr>
      <w:pgSz w:h="16834" w:w="11909" w:orient="portrait"/>
      <w:pgMar w:bottom="144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