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ранее зарегистрированном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транспортные средства (заявления, договоры, доверенности и т. д.) за последние 3 года;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транспортных средств, выбывших из владения должника.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408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