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Сведения о регистрации должника в целях поиска подходящей работы и (или) в качестве безработного.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назначении, размере и периоде выплаты должнику пособия по безработице и иных выплат, осуществляемых органами службы занятости.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трудоустройстве должника по направлению органов службы занятости, с указанием работодателя и даты трудоустройства.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предоставить за период трёх лет, предшествующих дате принятия заявления о признании должника банкротом, и по настоящее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