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before="0"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before="0"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bCs w:val="1"/>
          <w:i/>
          <w:sz w:val="20"/>
          <w:szCs w:val="20"/>
          <w:u w:val="none"/>
          <w:rtl w:val="0"/>
        </w:rPr>
        <w:t>«УВЕДОМЛЕНИЕ»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{дата решения}</w:t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В соответствии с ФЗ №127 «О несостоятельности (банкротстве)» с даты признания гражданина банкротом наступают следующие последствия: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- все права в отношении имущества, составляющего конкурсную массу, в том числе на распоряжение им, осуществляются только финансовым управляющим от имени гражданина и не могут осуществляться гражданином лично;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- сделки, совершенные гражданином лично (без участия финансового управляющего) в отношении имущества, составляющего конкурсную массу, ничтожны. Требования кредиторов по сделкам гражданина, совершенным им лично (без участия финансового управляющего), не подлежат удовлетворению за счет конкурсной массы;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- регистрация перехода или обременения прав гражданина на имущество, в том числе на недвижимое имущество и бездокументарные ценные бумаги, осуществляется только на основании заявления финансового управляющего, поданные до этой даты заявления гражданина не подлежат исполнению;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- исполнение третьими лицами обязательств перед гражданином по передаче ему имущества, в том числе по уплате денежных средств, возможно только в отношении финансового управляющего и запрещается в отношении гражданина лично;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- должник не вправе лично открывать банковские счета и вклады в кредитных организациях и получать по ним денежные средства.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Гражданин обязан не позднее одного рабочего дня, следующего за днем принятия решения о признании его банкротом, передать финансовому управляющему все имеющиеся у него банковские карты. Не позднее одного рабочего дня, следующего за днем их получения, финансовый управляющий обязан принять меры по блокированию операций с полученными им банковскими картами по перечислению денежных средств с использованием банковских карт на основной счет должника.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Дополнительно уведомляю Вас о том, что при наличии у Вас дохода должнику подлежит выплате размер МРОТ, установленный для категорий населения (трудоспособный гражданин, пенсионер, ребенок) региона, в котором проживает должник, в случае наличия иждивенцев 50% МРОТ на каждого.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sz w:val="18"/>
          <w:szCs w:val="18"/>
          <w:u w:val="none"/>
          <w:rtl w:val="0"/>
        </w:rPr>
        <w:t>На основании вышеизложенного, ПРОШУ: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1. Передать финансовому управляющему все имеющиеся у Вас банковские карты;</w:t>
      </w:r>
    </w:p>
    <w:p w:rsidR="00000000" w:rsidDel="00000000" w:rsidP="00000000" w:rsidRDefault="00000000" w:rsidRPr="00000000" w14:paraId="00000012">
      <w:pPr>
        <w:pageBreakBefore w:val="0"/>
        <w:spacing w:after="60" w:before="60" w:line="240" w:lineRule="auto"/>
        <w:ind w:firstLine="70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z w:val="18"/>
          <w:szCs w:val="18"/>
          <w:u w:val="none"/>
          <w:rtl w:val="0"/>
        </w:rPr>
        <w:t>2. В случае наличия дохода, превышающего размер МРОТ, исчисленного в соответствии с нормами действующего законодательства, внести денежные средства в конкурсную массу, согласовав порядок и способ с финансовым управляющим.</w:t>
      </w:r>
    </w:p>
    <w:p w:rsidR="00000000" w:rsidDel="00000000" w:rsidP="00000000" w:rsidRDefault="00000000" w:rsidRPr="00000000" w14:paraId="0000001B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18"/>
          <w:szCs w:val="18"/>
          <w:rtl w:val="0"/>
        </w:rPr>
        <w:t xml:space="preserve">Приложение:</w:t>
      </w:r>
    </w:p>
    <w:p w:rsidR="00000000" w:rsidDel="00000000" w:rsidP="00000000" w:rsidRDefault="00000000" w:rsidRPr="00000000" w14:paraId="0000001C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18"/>
          <w:szCs w:val="18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D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spacing w:after="240" w:before="24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 </w:t>
        <w:tab/>
      </w:r>
      <w:r w:rsidDel="00000000" w:rsidR="00000000" w:rsidRPr="00000000">
        <w:rPr>
          <w:rtl w:val="0"/>
        </w:rPr>
      </w:r>
    </w:p>
    <w:sectPr>
      <w:pgSz w:h="16834" w:w="11909" w:orient="portrait"/>
      <w:pgMar w:bottom="62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