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6ACC" w14:textId="25B374C7" w:rsidR="006533D2" w:rsidRPr="006533D2" w:rsidRDefault="006533D2" w:rsidP="004C1BA2">
      <w:pPr>
        <w:spacing w:line="240" w:lineRule="auto"/>
        <w:outlineLvl w:val="2"/>
        <w:rPr>
          <w:rFonts w:eastAsia="Times New Roman" w:cs="Times New Roman"/>
          <w:b/>
          <w:bCs/>
          <w:kern w:val="0"/>
          <w14:ligatures w14:val="none"/>
        </w:rPr>
      </w:pPr>
      <w:r w:rsidRPr="006533D2">
        <w:rPr>
          <w:rFonts w:eastAsia="Times New Roman" w:cs="Times New Roman"/>
          <w:b/>
          <w:bCs/>
          <w:kern w:val="0"/>
          <w14:ligatures w14:val="none"/>
        </w:rPr>
        <w:t>Safe</w:t>
      </w:r>
      <w:r w:rsidR="004C1BA2" w:rsidRPr="004C1BA2">
        <w:rPr>
          <w:rFonts w:eastAsia="Times New Roman" w:cs="Times New Roman"/>
          <w:b/>
          <w:bCs/>
          <w:kern w:val="0"/>
          <w14:ligatures w14:val="none"/>
        </w:rPr>
        <w:t>-</w:t>
      </w:r>
      <w:r w:rsidRPr="006533D2">
        <w:rPr>
          <w:rFonts w:eastAsia="Times New Roman" w:cs="Times New Roman"/>
          <w:b/>
          <w:bCs/>
          <w:kern w:val="0"/>
          <w14:ligatures w14:val="none"/>
        </w:rPr>
        <w:t>Haven Currencies Surge Amid Equity Weakness and Rate-Cut Delays</w:t>
      </w:r>
    </w:p>
    <w:p w14:paraId="1B6DDDB8" w14:textId="09CD73F9" w:rsidR="006533D2" w:rsidRPr="006533D2" w:rsidRDefault="006533D2" w:rsidP="004C1BA2">
      <w:p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Equity markets sold off this week as stronger-than-expected U.S. data forced investors to scale back near-term Fed rate-cut bets.</w:t>
      </w:r>
      <w:r w:rsidR="004C1BA2">
        <w:rPr>
          <w:rFonts w:eastAsia="Times New Roman" w:cs="Times New Roman"/>
          <w:kern w:val="0"/>
          <w:sz w:val="22"/>
          <w:szCs w:val="22"/>
          <w14:ligatures w14:val="none"/>
        </w:rPr>
        <w:t xml:space="preserve"> </w:t>
      </w:r>
      <w:r w:rsidRPr="006533D2">
        <w:rPr>
          <w:rFonts w:eastAsia="Times New Roman" w:cs="Times New Roman"/>
          <w:kern w:val="0"/>
          <w:sz w:val="22"/>
          <w:szCs w:val="22"/>
          <w14:ligatures w14:val="none"/>
        </w:rPr>
        <w:t>Th</w:t>
      </w:r>
      <w:r w:rsidR="004C1BA2">
        <w:rPr>
          <w:rFonts w:eastAsia="Times New Roman" w:cs="Times New Roman"/>
          <w:kern w:val="0"/>
          <w:sz w:val="22"/>
          <w:szCs w:val="22"/>
          <w14:ligatures w14:val="none"/>
        </w:rPr>
        <w:t>is</w:t>
      </w:r>
      <w:r w:rsidRPr="006533D2">
        <w:rPr>
          <w:rFonts w:eastAsia="Times New Roman" w:cs="Times New Roman"/>
          <w:kern w:val="0"/>
          <w:sz w:val="22"/>
          <w:szCs w:val="22"/>
          <w14:ligatures w14:val="none"/>
        </w:rPr>
        <w:t xml:space="preserve"> shift triggered a </w:t>
      </w:r>
      <w:r w:rsidRPr="006533D2">
        <w:rPr>
          <w:rFonts w:eastAsia="Times New Roman" w:cs="Times New Roman"/>
          <w:b/>
          <w:bCs/>
          <w:kern w:val="0"/>
          <w:sz w:val="22"/>
          <w:szCs w:val="22"/>
          <w14:ligatures w14:val="none"/>
        </w:rPr>
        <w:t>risk-off move</w:t>
      </w:r>
      <w:r w:rsidRPr="006533D2">
        <w:rPr>
          <w:rFonts w:eastAsia="Times New Roman" w:cs="Times New Roman"/>
          <w:kern w:val="0"/>
          <w:sz w:val="22"/>
          <w:szCs w:val="22"/>
          <w14:ligatures w14:val="none"/>
        </w:rPr>
        <w:t xml:space="preserve">, lifting the </w:t>
      </w:r>
      <w:r w:rsidRPr="006533D2">
        <w:rPr>
          <w:rFonts w:eastAsia="Times New Roman" w:cs="Times New Roman"/>
          <w:b/>
          <w:bCs/>
          <w:kern w:val="0"/>
          <w:sz w:val="22"/>
          <w:szCs w:val="22"/>
          <w14:ligatures w14:val="none"/>
        </w:rPr>
        <w:t>USD, JPY, and CHF</w:t>
      </w:r>
      <w:r w:rsidRPr="006533D2">
        <w:rPr>
          <w:rFonts w:eastAsia="Times New Roman" w:cs="Times New Roman"/>
          <w:kern w:val="0"/>
          <w:sz w:val="22"/>
          <w:szCs w:val="22"/>
          <w14:ligatures w14:val="none"/>
        </w:rPr>
        <w:t xml:space="preserve"> against risk-sensitive peers like the AUD and GBP.</w:t>
      </w:r>
    </w:p>
    <w:p w14:paraId="60DF8A73" w14:textId="5A6E68E0" w:rsidR="006533D2" w:rsidRPr="006533D2" w:rsidRDefault="006533D2" w:rsidP="004C1BA2">
      <w:pPr>
        <w:spacing w:line="240" w:lineRule="auto"/>
        <w:rPr>
          <w:rFonts w:eastAsia="Times New Roman" w:cs="Times New Roman"/>
          <w:kern w:val="0"/>
          <w:sz w:val="22"/>
          <w:szCs w:val="22"/>
          <w14:ligatures w14:val="none"/>
        </w:rPr>
      </w:pPr>
      <w:r w:rsidRPr="006533D2">
        <w:rPr>
          <w:rFonts w:eastAsia="Times New Roman" w:cs="Times New Roman"/>
          <w:b/>
          <w:bCs/>
          <w:kern w:val="0"/>
          <w:sz w:val="22"/>
          <w:szCs w:val="22"/>
          <w14:ligatures w14:val="none"/>
        </w:rPr>
        <w:t>Market Commentary:</w:t>
      </w:r>
    </w:p>
    <w:p w14:paraId="7ACF36DD" w14:textId="0C99E347" w:rsidR="006533D2" w:rsidRPr="006533D2" w:rsidRDefault="006533D2" w:rsidP="004C1BA2">
      <w:pPr>
        <w:numPr>
          <w:ilvl w:val="0"/>
          <w:numId w:val="8"/>
        </w:num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 xml:space="preserve">The rally </w:t>
      </w:r>
      <w:r w:rsidR="004C1BA2">
        <w:rPr>
          <w:rFonts w:eastAsia="Times New Roman" w:cs="Times New Roman"/>
          <w:kern w:val="0"/>
          <w:sz w:val="22"/>
          <w:szCs w:val="22"/>
          <w14:ligatures w14:val="none"/>
        </w:rPr>
        <w:t>towards</w:t>
      </w:r>
      <w:r w:rsidRPr="006533D2">
        <w:rPr>
          <w:rFonts w:eastAsia="Times New Roman" w:cs="Times New Roman"/>
          <w:kern w:val="0"/>
          <w:sz w:val="22"/>
          <w:szCs w:val="22"/>
          <w14:ligatures w14:val="none"/>
        </w:rPr>
        <w:t xml:space="preserve"> </w:t>
      </w:r>
      <w:r w:rsidR="004C1BA2">
        <w:rPr>
          <w:rFonts w:eastAsia="Times New Roman" w:cs="Times New Roman"/>
          <w:kern w:val="0"/>
          <w:sz w:val="22"/>
          <w:szCs w:val="22"/>
          <w14:ligatures w14:val="none"/>
        </w:rPr>
        <w:t>more stable currencies</w:t>
      </w:r>
      <w:r w:rsidRPr="006533D2">
        <w:rPr>
          <w:rFonts w:eastAsia="Times New Roman" w:cs="Times New Roman"/>
          <w:kern w:val="0"/>
          <w:sz w:val="22"/>
          <w:szCs w:val="22"/>
          <w14:ligatures w14:val="none"/>
        </w:rPr>
        <w:t xml:space="preserve"> signals </w:t>
      </w:r>
      <w:r w:rsidRPr="006533D2">
        <w:rPr>
          <w:rFonts w:eastAsia="Times New Roman" w:cs="Times New Roman"/>
          <w:b/>
          <w:bCs/>
          <w:kern w:val="0"/>
          <w:sz w:val="22"/>
          <w:szCs w:val="22"/>
          <w14:ligatures w14:val="none"/>
        </w:rPr>
        <w:t>caution</w:t>
      </w:r>
      <w:r w:rsidR="004C1BA2">
        <w:rPr>
          <w:rFonts w:eastAsia="Times New Roman" w:cs="Times New Roman"/>
          <w:kern w:val="0"/>
          <w:sz w:val="22"/>
          <w:szCs w:val="22"/>
          <w14:ligatures w14:val="none"/>
        </w:rPr>
        <w:t>.</w:t>
      </w:r>
      <w:r w:rsidRPr="006533D2">
        <w:rPr>
          <w:rFonts w:eastAsia="Times New Roman" w:cs="Times New Roman"/>
          <w:kern w:val="0"/>
          <w:sz w:val="22"/>
          <w:szCs w:val="22"/>
          <w14:ligatures w14:val="none"/>
        </w:rPr>
        <w:t xml:space="preserve"> </w:t>
      </w:r>
      <w:r w:rsidR="004C1BA2">
        <w:rPr>
          <w:rFonts w:eastAsia="Times New Roman" w:cs="Times New Roman"/>
          <w:kern w:val="0"/>
          <w:sz w:val="22"/>
          <w:szCs w:val="22"/>
          <w14:ligatures w14:val="none"/>
        </w:rPr>
        <w:t>I</w:t>
      </w:r>
      <w:r w:rsidRPr="006533D2">
        <w:rPr>
          <w:rFonts w:eastAsia="Times New Roman" w:cs="Times New Roman"/>
          <w:kern w:val="0"/>
          <w:sz w:val="22"/>
          <w:szCs w:val="22"/>
          <w14:ligatures w14:val="none"/>
        </w:rPr>
        <w:t>nvestors no longer trade purely on A</w:t>
      </w:r>
      <w:r w:rsidR="004C1BA2">
        <w:rPr>
          <w:rFonts w:eastAsia="Times New Roman" w:cs="Times New Roman"/>
          <w:kern w:val="0"/>
          <w:sz w:val="22"/>
          <w:szCs w:val="22"/>
          <w14:ligatures w14:val="none"/>
        </w:rPr>
        <w:t>I hype</w:t>
      </w:r>
      <w:r w:rsidRPr="006533D2">
        <w:rPr>
          <w:rFonts w:eastAsia="Times New Roman" w:cs="Times New Roman"/>
          <w:kern w:val="0"/>
          <w:sz w:val="22"/>
          <w:szCs w:val="22"/>
          <w14:ligatures w14:val="none"/>
        </w:rPr>
        <w:t xml:space="preserve"> but are bracing for </w:t>
      </w:r>
      <w:r w:rsidR="004C1BA2">
        <w:rPr>
          <w:rFonts w:eastAsia="Times New Roman" w:cs="Times New Roman"/>
          <w:kern w:val="0"/>
          <w:sz w:val="22"/>
          <w:szCs w:val="22"/>
          <w14:ligatures w14:val="none"/>
        </w:rPr>
        <w:t>central</w:t>
      </w:r>
      <w:r w:rsidRPr="006533D2">
        <w:rPr>
          <w:rFonts w:eastAsia="Times New Roman" w:cs="Times New Roman"/>
          <w:kern w:val="0"/>
          <w:sz w:val="22"/>
          <w:szCs w:val="22"/>
          <w14:ligatures w14:val="none"/>
        </w:rPr>
        <w:t xml:space="preserve"> rates</w:t>
      </w:r>
      <w:r w:rsidR="004C1BA2">
        <w:rPr>
          <w:rFonts w:eastAsia="Times New Roman" w:cs="Times New Roman"/>
          <w:kern w:val="0"/>
          <w:sz w:val="22"/>
          <w:szCs w:val="22"/>
          <w14:ligatures w14:val="none"/>
        </w:rPr>
        <w:t xml:space="preserve"> staying higher for longer</w:t>
      </w:r>
    </w:p>
    <w:p w14:paraId="04B8BB07" w14:textId="0D2CD952" w:rsidR="006533D2" w:rsidRPr="006533D2" w:rsidRDefault="004C1BA2" w:rsidP="004C1BA2">
      <w:pPr>
        <w:numPr>
          <w:ilvl w:val="0"/>
          <w:numId w:val="8"/>
        </w:numPr>
        <w:spacing w:line="240" w:lineRule="auto"/>
        <w:rPr>
          <w:rFonts w:eastAsia="Times New Roman" w:cs="Times New Roman"/>
          <w:kern w:val="0"/>
          <w:sz w:val="22"/>
          <w:szCs w:val="22"/>
          <w14:ligatures w14:val="none"/>
        </w:rPr>
      </w:pPr>
      <w:r>
        <w:rPr>
          <w:rFonts w:eastAsia="Times New Roman" w:cs="Times New Roman"/>
          <w:kern w:val="0"/>
          <w:sz w:val="22"/>
          <w:szCs w:val="22"/>
          <w14:ligatures w14:val="none"/>
        </w:rPr>
        <w:t>This shift differs to previous shifts, such as 2018, when moves were sharper and preceded downturns in broader assets.</w:t>
      </w:r>
      <w:r w:rsidR="00B169C6">
        <w:rPr>
          <w:rFonts w:eastAsia="Times New Roman" w:cs="Times New Roman"/>
          <w:kern w:val="0"/>
          <w:sz w:val="22"/>
          <w:szCs w:val="22"/>
          <w14:ligatures w14:val="none"/>
        </w:rPr>
        <w:t xml:space="preserve"> This more contained shift signals a correction rather than a major change in trends</w:t>
      </w:r>
    </w:p>
    <w:p w14:paraId="3DEB9FBC" w14:textId="7BFA068A" w:rsidR="006533D2" w:rsidRPr="006533D2" w:rsidRDefault="006533D2" w:rsidP="004C1BA2">
      <w:pPr>
        <w:spacing w:line="240" w:lineRule="auto"/>
        <w:rPr>
          <w:rFonts w:eastAsia="Times New Roman" w:cs="Times New Roman"/>
          <w:kern w:val="0"/>
          <w:sz w:val="22"/>
          <w:szCs w:val="22"/>
          <w14:ligatures w14:val="none"/>
        </w:rPr>
      </w:pPr>
      <w:r w:rsidRPr="006533D2">
        <w:rPr>
          <w:rFonts w:eastAsia="Times New Roman" w:cs="Times New Roman"/>
          <w:b/>
          <w:bCs/>
          <w:kern w:val="0"/>
          <w:sz w:val="22"/>
          <w:szCs w:val="22"/>
          <w14:ligatures w14:val="none"/>
        </w:rPr>
        <w:t>Context:</w:t>
      </w:r>
    </w:p>
    <w:p w14:paraId="135BBEE0" w14:textId="2F85D732" w:rsidR="006533D2" w:rsidRPr="006533D2" w:rsidRDefault="00B169C6" w:rsidP="004C1BA2">
      <w:pPr>
        <w:numPr>
          <w:ilvl w:val="0"/>
          <w:numId w:val="9"/>
        </w:numPr>
        <w:spacing w:line="240" w:lineRule="auto"/>
        <w:rPr>
          <w:rFonts w:eastAsia="Times New Roman" w:cs="Times New Roman"/>
          <w:kern w:val="0"/>
          <w:sz w:val="22"/>
          <w:szCs w:val="22"/>
          <w14:ligatures w14:val="none"/>
        </w:rPr>
      </w:pPr>
      <w:r>
        <w:rPr>
          <w:rFonts w:eastAsia="Times New Roman" w:cs="Times New Roman"/>
          <w:kern w:val="0"/>
          <w:sz w:val="22"/>
          <w:szCs w:val="22"/>
          <w14:ligatures w14:val="none"/>
        </w:rPr>
        <w:t xml:space="preserve">There were similar situations beofre, such as early 2020 pandemic fears when there were rallies to the Yen and Swiss Franc. These currencies are rallying despite no chances in central bank policy, suggesting that sentiment is the main driver of rallies. </w:t>
      </w:r>
    </w:p>
    <w:p w14:paraId="08D2A556" w14:textId="4DA28401" w:rsidR="006533D2" w:rsidRPr="006533D2" w:rsidRDefault="006533D2" w:rsidP="004C1BA2">
      <w:pPr>
        <w:numPr>
          <w:ilvl w:val="0"/>
          <w:numId w:val="9"/>
        </w:num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 xml:space="preserve">The </w:t>
      </w:r>
      <w:r w:rsidR="00B169C6">
        <w:rPr>
          <w:rFonts w:eastAsia="Times New Roman" w:cs="Times New Roman"/>
          <w:kern w:val="0"/>
          <w:sz w:val="22"/>
          <w:szCs w:val="22"/>
          <w14:ligatures w14:val="none"/>
        </w:rPr>
        <w:t xml:space="preserve">difference here is the </w:t>
      </w:r>
      <w:r w:rsidRPr="006533D2">
        <w:rPr>
          <w:rFonts w:eastAsia="Times New Roman" w:cs="Times New Roman"/>
          <w:b/>
          <w:bCs/>
          <w:kern w:val="0"/>
          <w:sz w:val="22"/>
          <w:szCs w:val="22"/>
          <w14:ligatures w14:val="none"/>
        </w:rPr>
        <w:t>USD’s strength despite rate-cut hopes</w:t>
      </w:r>
      <w:r w:rsidR="00B169C6">
        <w:rPr>
          <w:rFonts w:eastAsia="Times New Roman" w:cs="Times New Roman"/>
          <w:kern w:val="0"/>
          <w:sz w:val="22"/>
          <w:szCs w:val="22"/>
          <w14:ligatures w14:val="none"/>
        </w:rPr>
        <w:t xml:space="preserve">. This </w:t>
      </w:r>
      <w:r w:rsidRPr="006533D2">
        <w:rPr>
          <w:rFonts w:eastAsia="Times New Roman" w:cs="Times New Roman"/>
          <w:kern w:val="0"/>
          <w:sz w:val="22"/>
          <w:szCs w:val="22"/>
          <w14:ligatures w14:val="none"/>
        </w:rPr>
        <w:t>shows the market’s faith in U.S. resilience</w:t>
      </w:r>
      <w:r w:rsidR="00B169C6">
        <w:rPr>
          <w:rFonts w:eastAsia="Times New Roman" w:cs="Times New Roman"/>
          <w:kern w:val="0"/>
          <w:sz w:val="22"/>
          <w:szCs w:val="22"/>
          <w14:ligatures w14:val="none"/>
        </w:rPr>
        <w:t xml:space="preserve"> despite recent events.</w:t>
      </w:r>
    </w:p>
    <w:p w14:paraId="141D9582" w14:textId="305B0CB3" w:rsidR="006533D2" w:rsidRPr="006533D2" w:rsidRDefault="006533D2" w:rsidP="004C1BA2">
      <w:pPr>
        <w:spacing w:line="240" w:lineRule="auto"/>
        <w:rPr>
          <w:rFonts w:eastAsia="Times New Roman" w:cs="Times New Roman"/>
          <w:kern w:val="0"/>
          <w:sz w:val="22"/>
          <w:szCs w:val="22"/>
          <w14:ligatures w14:val="none"/>
        </w:rPr>
      </w:pPr>
      <w:r w:rsidRPr="006533D2">
        <w:rPr>
          <w:rFonts w:eastAsia="Times New Roman" w:cs="Times New Roman"/>
          <w:b/>
          <w:bCs/>
          <w:kern w:val="0"/>
          <w:sz w:val="22"/>
          <w:szCs w:val="22"/>
          <w14:ligatures w14:val="none"/>
        </w:rPr>
        <w:t>Forward Look:</w:t>
      </w:r>
    </w:p>
    <w:p w14:paraId="4DFD57B8" w14:textId="32479C0B" w:rsidR="006533D2" w:rsidRPr="006533D2" w:rsidRDefault="006533D2" w:rsidP="004C1BA2">
      <w:pPr>
        <w:numPr>
          <w:ilvl w:val="0"/>
          <w:numId w:val="10"/>
        </w:num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If inflation and job data stay firm,</w:t>
      </w:r>
      <w:r w:rsidR="00B169C6">
        <w:rPr>
          <w:rFonts w:eastAsia="Times New Roman" w:cs="Times New Roman"/>
          <w:kern w:val="0"/>
          <w:sz w:val="22"/>
          <w:szCs w:val="22"/>
          <w14:ligatures w14:val="none"/>
        </w:rPr>
        <w:t xml:space="preserve"> prompting the Fed to delay cuts,</w:t>
      </w:r>
      <w:r w:rsidRPr="006533D2">
        <w:rPr>
          <w:rFonts w:eastAsia="Times New Roman" w:cs="Times New Roman"/>
          <w:kern w:val="0"/>
          <w:sz w:val="22"/>
          <w:szCs w:val="22"/>
          <w14:ligatures w14:val="none"/>
        </w:rPr>
        <w:t xml:space="preserve"> </w:t>
      </w:r>
      <w:r w:rsidRPr="006533D2">
        <w:rPr>
          <w:rFonts w:eastAsia="Times New Roman" w:cs="Times New Roman"/>
          <w:b/>
          <w:bCs/>
          <w:kern w:val="0"/>
          <w:sz w:val="22"/>
          <w:szCs w:val="22"/>
          <w14:ligatures w14:val="none"/>
        </w:rPr>
        <w:t>safe-haven demand could persist</w:t>
      </w:r>
      <w:r w:rsidRPr="006533D2">
        <w:rPr>
          <w:rFonts w:eastAsia="Times New Roman" w:cs="Times New Roman"/>
          <w:kern w:val="0"/>
          <w:sz w:val="22"/>
          <w:szCs w:val="22"/>
          <w14:ligatures w14:val="none"/>
        </w:rPr>
        <w:t xml:space="preserve">, </w:t>
      </w:r>
      <w:r w:rsidR="00B169C6">
        <w:rPr>
          <w:rFonts w:eastAsia="Times New Roman" w:cs="Times New Roman"/>
          <w:kern w:val="0"/>
          <w:sz w:val="22"/>
          <w:szCs w:val="22"/>
          <w14:ligatures w14:val="none"/>
        </w:rPr>
        <w:t>putting pressure on risk assets and emerging markets’ FX .</w:t>
      </w:r>
    </w:p>
    <w:p w14:paraId="0B1B103A" w14:textId="75748F51" w:rsidR="006533D2" w:rsidRPr="006533D2" w:rsidRDefault="006533D2" w:rsidP="004C1BA2">
      <w:pPr>
        <w:numPr>
          <w:ilvl w:val="0"/>
          <w:numId w:val="10"/>
        </w:num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 xml:space="preserve">A dovish surprise or equity rebound, however, may </w:t>
      </w:r>
      <w:r w:rsidR="00B169C6">
        <w:rPr>
          <w:rFonts w:eastAsia="Times New Roman" w:cs="Times New Roman"/>
          <w:kern w:val="0"/>
          <w:sz w:val="22"/>
          <w:szCs w:val="22"/>
          <w14:ligatures w14:val="none"/>
        </w:rPr>
        <w:t xml:space="preserve">quickly </w:t>
      </w:r>
      <w:r w:rsidRPr="006533D2">
        <w:rPr>
          <w:rFonts w:eastAsia="Times New Roman" w:cs="Times New Roman"/>
          <w:b/>
          <w:bCs/>
          <w:kern w:val="0"/>
          <w:sz w:val="22"/>
          <w:szCs w:val="22"/>
          <w14:ligatures w14:val="none"/>
        </w:rPr>
        <w:t>unwind recent FX gains</w:t>
      </w:r>
      <w:r w:rsidRPr="006533D2">
        <w:rPr>
          <w:rFonts w:eastAsia="Times New Roman" w:cs="Times New Roman"/>
          <w:kern w:val="0"/>
          <w:sz w:val="22"/>
          <w:szCs w:val="22"/>
          <w14:ligatures w14:val="none"/>
        </w:rPr>
        <w:t>.</w:t>
      </w:r>
    </w:p>
    <w:p w14:paraId="04446427" w14:textId="4D1A17E9" w:rsidR="009A3283" w:rsidRPr="004C1BA2" w:rsidRDefault="006533D2" w:rsidP="004C1BA2">
      <w:pPr>
        <w:numPr>
          <w:ilvl w:val="0"/>
          <w:numId w:val="10"/>
        </w:numPr>
        <w:spacing w:line="240" w:lineRule="auto"/>
        <w:rPr>
          <w:rFonts w:eastAsia="Times New Roman" w:cs="Times New Roman"/>
          <w:kern w:val="0"/>
          <w:sz w:val="22"/>
          <w:szCs w:val="22"/>
          <w14:ligatures w14:val="none"/>
        </w:rPr>
      </w:pPr>
      <w:r w:rsidRPr="006533D2">
        <w:rPr>
          <w:rFonts w:eastAsia="Times New Roman" w:cs="Times New Roman"/>
          <w:kern w:val="0"/>
          <w:sz w:val="22"/>
          <w:szCs w:val="22"/>
          <w14:ligatures w14:val="none"/>
        </w:rPr>
        <w:t xml:space="preserve">Near-term risk: </w:t>
      </w:r>
      <w:r w:rsidR="004C1BA2">
        <w:rPr>
          <w:rFonts w:eastAsia="Times New Roman" w:cs="Times New Roman"/>
          <w:kern w:val="0"/>
          <w:sz w:val="22"/>
          <w:szCs w:val="22"/>
          <w14:ligatures w14:val="none"/>
        </w:rPr>
        <w:t>the US federal government shutdown has put a pause on key economic data, which adds more uncertainty to future rate cuts and impacts of Trump’s tariffs.</w:t>
      </w:r>
    </w:p>
    <w:sectPr w:rsidR="009A3283" w:rsidRPr="004C1B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94D"/>
    <w:multiLevelType w:val="multilevel"/>
    <w:tmpl w:val="69F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4AAD"/>
    <w:multiLevelType w:val="multilevel"/>
    <w:tmpl w:val="20E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453C2"/>
    <w:multiLevelType w:val="multilevel"/>
    <w:tmpl w:val="FBF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131B6"/>
    <w:multiLevelType w:val="multilevel"/>
    <w:tmpl w:val="929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01746"/>
    <w:multiLevelType w:val="hybridMultilevel"/>
    <w:tmpl w:val="62141368"/>
    <w:lvl w:ilvl="0" w:tplc="A3CE9C4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00AE4"/>
    <w:multiLevelType w:val="hybridMultilevel"/>
    <w:tmpl w:val="543CDF58"/>
    <w:lvl w:ilvl="0" w:tplc="EDF21EE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A09C4"/>
    <w:multiLevelType w:val="multilevel"/>
    <w:tmpl w:val="9F6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60570"/>
    <w:multiLevelType w:val="multilevel"/>
    <w:tmpl w:val="A56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600DD"/>
    <w:multiLevelType w:val="multilevel"/>
    <w:tmpl w:val="75B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07552"/>
    <w:multiLevelType w:val="multilevel"/>
    <w:tmpl w:val="525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844354">
    <w:abstractNumId w:val="4"/>
  </w:num>
  <w:num w:numId="2" w16cid:durableId="2021540059">
    <w:abstractNumId w:val="5"/>
  </w:num>
  <w:num w:numId="3" w16cid:durableId="895817821">
    <w:abstractNumId w:val="6"/>
  </w:num>
  <w:num w:numId="4" w16cid:durableId="113062248">
    <w:abstractNumId w:val="7"/>
  </w:num>
  <w:num w:numId="5" w16cid:durableId="456997321">
    <w:abstractNumId w:val="3"/>
  </w:num>
  <w:num w:numId="6" w16cid:durableId="1815371694">
    <w:abstractNumId w:val="1"/>
  </w:num>
  <w:num w:numId="7" w16cid:durableId="131681704">
    <w:abstractNumId w:val="2"/>
  </w:num>
  <w:num w:numId="8" w16cid:durableId="1508522824">
    <w:abstractNumId w:val="8"/>
  </w:num>
  <w:num w:numId="9" w16cid:durableId="124273771">
    <w:abstractNumId w:val="9"/>
  </w:num>
  <w:num w:numId="10" w16cid:durableId="8214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87"/>
    <w:rsid w:val="001C2287"/>
    <w:rsid w:val="004C1BA2"/>
    <w:rsid w:val="005A7477"/>
    <w:rsid w:val="006533D2"/>
    <w:rsid w:val="006E2121"/>
    <w:rsid w:val="0080369E"/>
    <w:rsid w:val="009A3283"/>
    <w:rsid w:val="00A05731"/>
    <w:rsid w:val="00B169C6"/>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4DB7"/>
  <w15:chartTrackingRefBased/>
  <w15:docId w15:val="{2AE387B5-53E4-EA42-B8B4-EBAA9C22C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287"/>
    <w:rPr>
      <w:rFonts w:eastAsiaTheme="majorEastAsia" w:cstheme="majorBidi"/>
      <w:color w:val="272727" w:themeColor="text1" w:themeTint="D8"/>
    </w:rPr>
  </w:style>
  <w:style w:type="paragraph" w:styleId="Title">
    <w:name w:val="Title"/>
    <w:basedOn w:val="Normal"/>
    <w:next w:val="Normal"/>
    <w:link w:val="TitleChar"/>
    <w:uiPriority w:val="10"/>
    <w:qFormat/>
    <w:rsid w:val="001C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287"/>
    <w:pPr>
      <w:spacing w:before="160"/>
      <w:jc w:val="center"/>
    </w:pPr>
    <w:rPr>
      <w:i/>
      <w:iCs/>
      <w:color w:val="404040" w:themeColor="text1" w:themeTint="BF"/>
    </w:rPr>
  </w:style>
  <w:style w:type="character" w:customStyle="1" w:styleId="QuoteChar">
    <w:name w:val="Quote Char"/>
    <w:basedOn w:val="DefaultParagraphFont"/>
    <w:link w:val="Quote"/>
    <w:uiPriority w:val="29"/>
    <w:rsid w:val="001C2287"/>
    <w:rPr>
      <w:i/>
      <w:iCs/>
      <w:color w:val="404040" w:themeColor="text1" w:themeTint="BF"/>
    </w:rPr>
  </w:style>
  <w:style w:type="paragraph" w:styleId="ListParagraph">
    <w:name w:val="List Paragraph"/>
    <w:basedOn w:val="Normal"/>
    <w:uiPriority w:val="34"/>
    <w:qFormat/>
    <w:rsid w:val="001C2287"/>
    <w:pPr>
      <w:ind w:left="720"/>
      <w:contextualSpacing/>
    </w:pPr>
  </w:style>
  <w:style w:type="character" w:styleId="IntenseEmphasis">
    <w:name w:val="Intense Emphasis"/>
    <w:basedOn w:val="DefaultParagraphFont"/>
    <w:uiPriority w:val="21"/>
    <w:qFormat/>
    <w:rsid w:val="001C2287"/>
    <w:rPr>
      <w:i/>
      <w:iCs/>
      <w:color w:val="0F4761" w:themeColor="accent1" w:themeShade="BF"/>
    </w:rPr>
  </w:style>
  <w:style w:type="paragraph" w:styleId="IntenseQuote">
    <w:name w:val="Intense Quote"/>
    <w:basedOn w:val="Normal"/>
    <w:next w:val="Normal"/>
    <w:link w:val="IntenseQuoteChar"/>
    <w:uiPriority w:val="30"/>
    <w:qFormat/>
    <w:rsid w:val="001C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287"/>
    <w:rPr>
      <w:i/>
      <w:iCs/>
      <w:color w:val="0F4761" w:themeColor="accent1" w:themeShade="BF"/>
    </w:rPr>
  </w:style>
  <w:style w:type="character" w:styleId="IntenseReference">
    <w:name w:val="Intense Reference"/>
    <w:basedOn w:val="DefaultParagraphFont"/>
    <w:uiPriority w:val="32"/>
    <w:qFormat/>
    <w:rsid w:val="001C2287"/>
    <w:rPr>
      <w:b/>
      <w:bCs/>
      <w:smallCaps/>
      <w:color w:val="0F4761" w:themeColor="accent1" w:themeShade="BF"/>
      <w:spacing w:val="5"/>
    </w:rPr>
  </w:style>
  <w:style w:type="paragraph" w:customStyle="1" w:styleId="p1">
    <w:name w:val="p1"/>
    <w:basedOn w:val="Normal"/>
    <w:rsid w:val="006533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533D2"/>
  </w:style>
  <w:style w:type="paragraph" w:customStyle="1" w:styleId="p3">
    <w:name w:val="p3"/>
    <w:basedOn w:val="Normal"/>
    <w:rsid w:val="006533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533D2"/>
  </w:style>
  <w:style w:type="paragraph" w:customStyle="1" w:styleId="p4">
    <w:name w:val="p4"/>
    <w:basedOn w:val="Normal"/>
    <w:rsid w:val="006533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3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Kim</dc:creator>
  <cp:keywords/>
  <dc:description/>
  <cp:lastModifiedBy>Sean Kim</cp:lastModifiedBy>
  <cp:revision>1</cp:revision>
  <dcterms:created xsi:type="dcterms:W3CDTF">2025-11-06T02:13:00Z</dcterms:created>
  <dcterms:modified xsi:type="dcterms:W3CDTF">2025-11-06T03:01:00Z</dcterms:modified>
</cp:coreProperties>
</file>