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 Quality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AI-Knowledge-05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quality principles and evaluation criteria for organizational Knowledge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Knowledge Quality ensures that organizational Knowledge remains reliable, consistent, explainable, and suitable for operational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Knowledge Quality is the degree to which organizational Knowledge satisfies business, operational, and governance requirements.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Knowledge Quality shall be continuously assessed throughout the Knowledge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Knowledge Quality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business objectives;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consistency;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enable continuous improvement;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Quality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Knowledge Quality aims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improve decision-making;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increase AI reliability;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reduce ambiguity;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minimize inconsistencies;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regulatory compliance;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preserve organizational trust.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Quality Dimensions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Knowledge should be evaluated according to: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Completeness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Consistency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Relevance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Timeliness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Traceability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Explainability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Version Integrity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Organizations may define additional quality dimensions.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Quality Assessment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Knowledge may be assessed through: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expert review;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consistency checks;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operational feedback;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audit activities.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Assessment methods are organization-specific.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Quality Indicators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Typical indicators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review frequency;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approval status;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version currency;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conflict count;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evidence availability;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provenance completeness.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Organizations may define additional indicators.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Continuous Improvement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Knowledge Quality should improve through: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periodic reviews;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operational feedback;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incident analysis;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expert recommendations;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governance improvements.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Quality Issues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Organizations should identify and manage issues including: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outdated Knowledge;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conflicting Knowledge;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incomplete Knowledge;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duplicate Knowledge;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unsupported Knowledge;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unapproved Knowledge.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Quality issues shall be resolved through governed processes.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Knowledge Quality shall comply with: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review schedules;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Quality evaluations shall preserve traceability.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quality assessments;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review history;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identified issues;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corrective actions;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approval records.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Audit information shall remain immutable.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Knowledge Quality interacts with: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Knowledge Sources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Knowledge Lifecycle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Knowledge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Knowledge Quality specification does not prescribe: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scoring models;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quality metrics;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review tools;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governance platforms.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Organizations remain free to implement quality management using any compatible methodology.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define Knowledge quality criteria;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support periodic assessment;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preserve assessment history;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maintain technology independence.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