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Naming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Core-05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document defines naming conventions used throughout the specification.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Consistent naming improves readability, interoperability, and semantic stability.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General Rules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Names shall be: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unique;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descriptive;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unambiguous;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implementation-independent.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Entity Names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Entity names shall use singular nouns.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Domain Names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Domain names shall represent operational responsibility.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Workflow Names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Workflow names shall describe operational intent.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Register Customer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Approve Payment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Invoice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State Names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State names shall describe observable conditions.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Attribute Names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Attribute names shall be descriptive and implementation-independent.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Registration Date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Prohibited Naming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specification discourages: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abbreviations;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vendor-specific terminology;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database field names;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implementation details.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All names defined within this specification shall follow these rules.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|0.1|20 July 2026|Initial draft|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