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DOMAIN-BI-README-01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the Business Intelligence (BI) Domain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BI Domain manages analytical business Objects derived from enterprise business facts.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Domain provides capabilities for analytics, reporting, metric calculation, trend analysis, forecasting, and decision support while preserving Object Ownership and interoperability with other enterprise Domains.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BI Domain defines: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managed Analytical Objects;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analytical Relationships;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BI Events;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analytical Lifecycles;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analytical Processes;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BI Capabilities;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BI KPIs;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BI Policies;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AI capabilities within the BI Domain.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Domain does not define data warehouses, reporting platforms, dashboards, databases,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objectives of the BI Domain are to: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transform business facts into analytical insight;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provide standardized business metrics;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operational and strategic decision-making;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enable enterprise reporting;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semantic consistency across analytical assets;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ensure interoperability with operational Domains.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Domain Responsibilities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BI Domain is responsible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metric management;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report management;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dashboard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analytical model management;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forecasting support;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business performance monitoring;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enterprise analytics.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Responsibilities outside this scope belong to their respective Domains.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Managed Objects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BI Domain manages business Objects representing analytical information.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complete Object model is defined in: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Objects.md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Domain 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BI Domain consists of: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Objects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Processes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Capabilities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Each component is defined in its corresponding specification.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BI Domain collaborates with other Domains through: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BI Domain consumes business facts from other Domains but does not become the authoritative owner of those operational Objects.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BI Domain specializes: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Domains/Common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Language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BI Domain does not prescribe: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business intelligence platforms;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data warehouses;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reporting software;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visualization tools;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Organizations remain free to implement BI capabilities using technologies appropriate to their operational environment.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define managed Analytical Objects;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support standardized Domain integration;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