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DOMAIN-FINANCE-LIFECYCLE-01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Lifecycles of Financial Objects managed by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Lifecycles describe the business states through which Financial Objects progress from creation to retirement.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definitions provide consistent financial state management while preserving Object Identity, Ownership,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Lifecycle is the ordered progression of business states for a Financial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Lifecycle transitions represent changes in business status and shall not imply implementation-specific workflows.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Financial Lifecycles provide a standardized representation of financial state across enterprise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accounting consistency, financial governance, reporting accuracy, and auditability.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belong to individual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governed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deterministic;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Financial Object shall participate in one or more explicitly defined Lifecycles.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Lifecycle definitions are independent of: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Processes coordinate work.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Lifecycles represent Object state.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Typical Lifecycle States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Financial Objects may progress through states such as: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Validated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Posted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Reconciled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Organizations may define additional states appropriate to their business requirements.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Transitions occur when governed business conditions are satisfied.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Created → Validated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Validated → Approved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→ Posted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Posted → Reconciled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Reconciled → Closed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Closed → Archived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Transition rules are governed by applicable Policies.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Finance Domain owns the Lifecycles of Financial Objects.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Lifecycle Ownership does not imply ownership of referenced Objects from other Domains.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Lifecycle Integrity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Financial Lifecycles shall preserve: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financial consistency;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auditability.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Invalid transitions shall be prevented through governance.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Financial Lifecycles shall be governed through: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approval rules;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Governance ensures predictable financial behavior.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Financial Lifecycles may evolve through: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Financial Lifecycles build upon: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Additional Finance specifications define the Objects participating in these Lifecycles.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Financial Lifecycle specification does not prescribe: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accounting workflows;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Lifecycles remain logical business constructs independent of implementation.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define explicit Lifecycles for Financial Objects;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maintain Lifecycle integrity;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