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Finance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DOMAIN-FINANCE-README-01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specification defines the Finance Domain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Finance Domain manages financial business Objects throughout their operational Lifecycles.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Domain provides capabilities for financial accounting, ledger management, balance management, financial reconciliation, revenue recognition, expense management, and financial reporting while preserving Object Ownership and interoperability with other enterprise Domains.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Finance Domain defines: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managed Financial Objects;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financial Relationships;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Financial Events;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financial Lifecycles;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financial Processes;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Financial Capabilities;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Financial KPIs;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Financial Policies;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AI capabilities within the Finance Domain.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Domain does not define accounting software, ERP systems, taxation rules, or implementation technologies.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objectives of the Finance Domain are 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financial business events;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maintain financial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accounting operations;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coordinate financial reconciliation;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provide standardized financial Capabilities;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ensure interoperability across enterprise Domains.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Finance Domain is responsible for: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ledger management;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journal management;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balance management;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revenue recognition;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expense recognition;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financial reconciliation;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financial period management;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financial reporting.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Responsibilities outside this scope belong to their respective Domains.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Managed Objects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Finance Domain manages business Objects related to financial operations.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complete Object model is defined in: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Objects.md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Domain Structure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Finance Domain consists of: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Objects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Processes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Capabilities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KPIs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Policies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Each component is defined in its corresponding specification.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Integration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Finance Domain collaborates with other Domains through: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Finance Domain does not assume ownership of Objects belonging to other Domains.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Finance Domain specializes: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Domains/Common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Meta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Finance Domain does not prescribe: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accounting standards;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ERP platforms;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accounting software;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databases;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Organizations remain free to implement financial capabilities using technologies appropriate to their operational environment.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conforming Finance implementation shall: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define managed Financial Objects;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support standardized Domain integration;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