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Financial Relationships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DOMAIN-FINANCE-RELATIONSHIPS-01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Relationships managed by the Finance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Financial Relationships describe the business associations between Financial Objects and other enterprise Objects.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Relationships establish financial context while preserving Object Ownership, Identity, and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Financial Relationship is a business Relationship involving one or more Financial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Relationships describe financial associations without transferring Object Ownership or modifying Object Identity.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Relationship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Financial Relationships connect accounting records, balances, obligations, and reporting structures with operational business Objects.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traceability from operational activities to financial representation while maintaining clear ownership boundaries.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Financial Relationships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business associations;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explicitly defined;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Relationship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Financial Relationships may include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Accounting Relationships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Relationships between accounting Objects.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Journal Entry contains Ledger Entry;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Ledger Entry belongs to Account;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Posting references Journal Entry.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Balance Relationships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Relationships describing financial balances.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Account contributes to Trial Balance;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Ledger Entry updates Account Balance;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Subledger reconciles with General Ledger.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Obligation Relationships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Relationships describing financial obligations.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Receivable references Customer;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Payable references Supplier;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Liability references Contract.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Financial Period Relationships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Relationships involving reporting periods.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Journal Entry belongs to Accounting Period;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Adjustment references Financial Close;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Report references Fiscal Period.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Cross-Domain Relationships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Relationships connecting Financial Objects with Objects owned by other Domains.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Ledger Entry ↔ Payment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Journal Entry ↔ Invoice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Revenue ↔ Product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Expense ↔ Contract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Receivable ↔ Customer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Cross-Domain Relationships shall preserve ownership boundaries.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Relationship Ownership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Every Relationship shall identify its governing Domain.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Relationship governance does not imply ownership of participating Objects.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Object Ownership remains unchanged.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Relationship Lifecycle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Relationships may be: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created;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modified;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suspended;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reactivated;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retired.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Relationship Lifecycle shall remain independent of Object Identity.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Relationship Integrity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Financial Relationships shall preserve: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valid Object references;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semantic consistency;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ownership integrity;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financial traceability.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Invalid or obsolete Relationships shall be governed according to organizational Policies.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Relationship Constraints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Relationships may define Constraints including: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cardinality;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accounting period validity;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dependency rules;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participation rules.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Constraint definitions are governed separately.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Relationship Evolution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Financial Relationships may evolve through: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refined semantics;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expanded relationship categories;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compatibility-preserving extensions.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Relationship evolution shall preserve Object Identity.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Financial Relationships shall be governed through: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Lifecycle management;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Governance shall ensure enterprise-wide financial consistency.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Financial Relationships build upon: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Meta/Relationship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Meta/Reference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Additional Finance specifications further specialize relationship behavior.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Financial Relationships specification does not prescribe: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accounting databases;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ERP schemas;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foreign keys;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Relationships remain logical business constructs independent of implementation.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 conforming Finance implementation shall: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define explicit Relationships;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maintain Relationship integrity;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