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Human Resources Objects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**Document ID:** DOMAIN-HR-OBJECTS-01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**Status:** Draft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**Last Updated:** 21 July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document defines the Business Objects owned by the Human Resources (HR) Domain.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HR Business Objects represent the enterprise workforce, organizational structure, employment relationships, competencies, and workforce development while preserving Object Ownership, Lifecycle integrity, and enterprise interoperability.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 Definition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An HR Object is a Business Object owned by the Human Resources Domain.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HR Objects describe the organization's workforce independently of implementation technologies.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Object semantics are defined by the Core Object specification.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 Business Meaning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HR Objects provide the authoritative business representation of employees, positions, organizational structures, competencies, career development, and workforce planning.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They enable consistent workforce governance across the enterprise.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# Design Principles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HR Objects shall: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possess unique business identity;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own their Lifecycle;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preserve semantic consistency;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participate in governed Relationships;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generate HR Events;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remain technology independent.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# Object Categories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HR Objects may be organized into the following categories.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## Workforce Objects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Objects representing members of the organization.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Employee;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Employment;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Employment Contract Reference;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Workforce Assignment;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Employment Status.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The HR Domain owns workforce representation independently of identity management systems.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## Organizational Objects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Objects representing enterprise structure.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Organizational Unit;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Department;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Team;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Business Function;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Cost Center Reference.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Organizational Objects define reporting and operational structure.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## Position Objects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Objects representing organizational responsibilities.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Position;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Role;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Job Profile;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Responsibility Set;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Authority Level.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Positions exist independently of Employees.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## Competency Objects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Objects representing workforce capabilities.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Skill;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Competency;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Certification;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Qualification;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Language Proficiency.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Competency Objects describe capabilities rather than performance.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## Development Objects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Objects supporting workforce growth.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Training Program;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Development Plan;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Career Path;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Learning Activity;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Mentorship Assignment.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Development Objects support long-term workforce improvement.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## Performance Objects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Objects supporting workforce evaluation.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Performance Review;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Goal;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Objective;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Feedback Session;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Performance Summary.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Performance Objects evaluate organizational contribution.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## Planning Objects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Objects supporting workforce planning.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Workforce Plan;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 Hiring Request;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 Succession Plan;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 Resource Forecast;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Organizational Capacity Profile.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Planning Objects support strategic workforce management.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# Cross-Domain References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HR Objects may reference Objects owned by other Domains.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 Employee assigned to Product;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 Employee assigned to Support Case;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 Employee assigned as Affiliate Manager;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 Employee participating in Compliance Review;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Employee responsible for Marketing Campaign;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Employee approving Financial Record.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Such references do not transfer Object Ownership.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# Object Ownership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Every HR Object shall have one owning Domain.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The HR Domain owns: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 workforce information;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 organizational structure;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 employment relationships;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 competencies;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 workforce development.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Other Domains may reference HR Objects but shall not own them.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# Object Governance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HR Objects shall be governed through: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 Lifecycles;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 Relationships;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- Policies;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 Constraints;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- Events.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Governance shall ensure workforce consistency across the enterprise.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# Object Evolution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HR Objects may evolve through: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 additional attributes;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- refined semantics;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- expanded workforce models;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- compatibility-preserving enhancements.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Historical identity shall be preserved.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# Relationship to Other Specifications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HR Objects build upon: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- Object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- Relationship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- Lifecycle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- Event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- Policy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- Domain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Additional HR specifications define how these Objects interact.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# Independence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This specification does not prescribe: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- HR platforms;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- payroll software;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- recruitment systems;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- directory services;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- implementation technologies.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HR Objects remain implementation independent.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# Conformance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A conforming HR implementation shall: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- define standardized HR Objects;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- preserve Object identity;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- preserve Object Ownership;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- support interoperability;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- remain compatible with the OCOM Specification.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# Revision History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| Version | Date | Description |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|----------|------|-------------|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| 0.1 | 21 July 2026 | Initial draft |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