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Events represent immutable business facts describing completed activities affecting Product Objects throughout their Lifecycles.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communicate changes in enterprise commercial offerings while preserving Object Ownership and interoperability across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Event represents a completed business fact produced by the Product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Events describe what has occurred rather than what should occur.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Events communicate changes to enterprise commercial offerings.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other Domains to synchronize with Product changes without assuming ownership of Product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 once published;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reference Product Objects;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Product Lifecycle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representing Product lifecycle progression.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 Created;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Updated;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Product Published;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Product Suspended;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Product Retired.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Service Events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Events representing Service lifecycle activities.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Service Defined;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Service Updated;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Service Activated;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Service Deprecated.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Offering Events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Events representing commercial offerings.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Offering Created;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Offering Published;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Offering Updated;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Offering Withdrawn.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Bundle Events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Events representing Bundle management.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Bundle Created;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Bundle Modified;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Bundle Published;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Bundle Retired.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Subscription Events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Events representing Subscription structures.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Subscription Plan Created;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Subscription Plan Updated;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Subscription Plan Activated;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Subscription Plan Retired.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Configuration Events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Events representing Product configuration.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Configuration Created;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Configuration Updated;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Feature Added;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Feature Removed;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Configuration Published.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Product Events originate from the Product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Operational Domains remain responsible for Events describing customer interactions, financial transactions, and operational execution.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Event Publication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Product Events may be published following: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Product lifecycle transitions;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Offering publication;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Bundle modifications;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Subscription changes;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Configuration updates.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Publication mechanisms are implementation-specific.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Event Consumption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Product Events may be consumed by: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Event consumption does not transfer Object Ownership.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Product Events may evolve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additional event categories;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Product Events build upon: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Product specifications define the Objects producing these Events.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event buses;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messaging platforms;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streaming technologies;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Events remain logical business facts independent of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define standardized Product Events;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publish immutable business facts;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