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Brand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Brand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Brand Entity represents a distinct business identity under which products, services, or experiences are presented to stakeholders.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Brand is an operational entity representing a recognizable business identity that distinguishes products, services, organizations, or offerings from others.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Brand exists independently of marketing campaigns, products, or legal entities.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Brand represents market identity.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defines how an organization or offering is recognized by customers, partners, and other stakeholders.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Brand may encompass multiple products, campaigns, offers, and digital assets while maintaining a consistent identity.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Brand: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represent one recognizable business identity;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may contain multiple products, services, or offers;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participate in multiple Campaigns;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Name | Brand name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Description | Brand description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Logo | Brand visual identity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Website | Official website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Industry | Business sector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Every Brand shall have one responsible Owner.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Brand shall belong to exactly one primary Domain.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Brand may include the following operational states: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Brand Lifecycle defines all valid state transitions.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Brand may establish relationships with: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Creative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Typical Events associated with a Brand include: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Brand Created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Brand Activated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Brand Updated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Brand Suspended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Brand Retired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Business Rules governing Brands are implementation-specific.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naming conventions;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trademark policies;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identity guidelines;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publication requirements.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Every Brand shall have exactly one Identifier.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Every Brand shall belong to exactly one primary Domain.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Every Brand shall have one current State.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Every Brand shall follow one defined Lifecycle.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Every Brand shall have one responsible Owner.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Brand shall never: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Brand conforms to this specification only if all mandatory requirements defined in this document are satisfied.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