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Campaign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Entity-008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20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normative specification of the Campaign Entity.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Campaign Entity represents a coordinated business initiative designed to achieve defined commercial, operational, or strategic objectives within a specified period.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 Campaign is an operational entity representing a planned and managed initiative that coordinates one or more business activities toward measurable objectives.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 Campaign exists independently of the channels, participants, or technologies used to execute it.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 Campaign provides the organizational framework for executing business initiatives.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It defines objectives, duration, participants, and operational scope while coordinating Offers, Affiliates, Content, Creative assets, and other related entities.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 Campaign represents the initiative itself rather than the individual activities performed within it.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 Core Principles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 Campaign: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shall have a unique identity;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shall define one or more measurable objectives;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shall operate within a defined timeframe;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may coordinate multiple Offers;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may involve multiple Affiliates and Partners;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shall remain identifiable throughout its lifecycle.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 Mandatory Attributes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| Attribute | Description |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|------------|-------------|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| Identifier | Globally unique identity |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| Name | Campaign name |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| State | Current operational state |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| Lifecycle | Governing lifecycle |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| Domain | Governing Domain |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| Owner | Responsible owner |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| Created At | Creation timestamp |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 Optional Attributes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| Attribute | Description |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|------------|-------------|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| Description | Business description |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| Objective | Primary campaign objective |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| Start Date | Campaign start |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| End Date | Campaign end |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| Budget | Planned budget |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| Priority | Operational priority |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| Metadata | Additional implementation-specific information |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# Ownership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Every Campaign shall have one responsible Owner.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The Owner is accountable for governance and lifecycle integrity.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