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Content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Entity-011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normative specification of the Content Entity.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Content Entity represents information created, managed, and distributed to communicate, educate, promote, or support business objectives.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Content is an operational entity representing structured or unstructured information intended for consumption by one or more audiences.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Content exists independently of its delivery channel, presentation format, or storage technology.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Content represents business information.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It enables communication between an organization and its stakeholders and may support commercial, operational, educational, legal, or marketing activities.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Content represents the information itself rather than the medium through which it is delivered.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Core Principles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Content: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shall have a unique identity;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shall represent a single logical information asset;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may exist in multiple formats;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may be published through multiple channels;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may participate in multiple Campaigns;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shall remain identifiable throughout its lifecycle.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Mandatory Attributes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| Attribute | Description |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|------------|-------------|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| Identifier | Globally unique identity 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| Title | Content title 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| State | Current operational state 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| Lifecycle | Governing lifecycle 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| Domain | Governing Domain 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| Owner | Responsible owner 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| Created At | Creation timestamp 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Optional Attributes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| Attribute | Description 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|------------|-------------|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| Description | Content summary 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| Language | Primary language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| Format | Text, image, video, audio, document, etc. 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| Version | Content version 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| Tags | Classification labels 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| Metadata | Additional implementation-specific information 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 Ownership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Every Content shall have one responsible Owner.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The Owner is accountable for governance and lifecycle integrity.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 Domain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Every Content shall belong to exactly one primary Domain.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States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Content may include the following operational states: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Draft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Under Review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Approved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Published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Unpublished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Archived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Additional states may be introduced provided they remain consistent with the Lifecycle.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 Lifecycle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The Content Lifecycle defines all valid state transitions.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Undefined transitions are prohibited.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 Relationships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Content may establish relationships with: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Brand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Campaign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Creative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Landing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Offer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Relationship definitions are specified separately.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 Events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Typical Events associated with Content include: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Content Created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Content Updated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Content Submitted for Review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Content Approved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Content Published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Content Unpublished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Content Archived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Events represent immutable operational facts.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 Business Rules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Business Rules governing Content are implementation-specific.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approval workflow;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publication schedule;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localization requirements;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retention policies;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editorial standards.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 Invariants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The following conditions shall always remain true.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Every Content shall have exactly one Identifier.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Every Content shall belong to exactly one primary Domain.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Every Content shall have one current State.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Every Content shall follow one defined Lifecycle.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Every Content shall have one responsible Owner.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 Constraints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Content shall never: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exist without an Identifier;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exist without a Lifecycle;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exist without a State;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exist without an Owner;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violate its defined Lifecycle.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Content conforms to this specification only if all mandatory requirements defined in this document are satisfied.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 Examples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Examples are informative and are not part of the normative specification.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Example implementations may differ while remaining conformant to this specification.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