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Entities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how Entities shall be specified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 Entity represents a uniquely identifiable business object with its own identity, lifecycle, attributes, responsibilities, and relationships.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Entity specifications shall follow a standardized structure to ensure consistency, interoperability, and reusability across all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Entity is a business object that exists independently within the operational model.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 Entity may represent a physical object, digital object, business concept, organizational object, financial object, or any other operationally significant object.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Each Entity shall have its own identity throughout its lifecycle.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Entity Structure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Every Entity specification shall contain the following sections: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Metadata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Purpose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Definition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Business Meaning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Core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6. Mandatory Attributes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Optional Attributes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8. Ownership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9. Domain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10. Lifecycle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11. Relationships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12. Events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13. Business Rules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14. Invariants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15. Constraints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16. Conformance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17. Examples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18. Revision History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Every Entity shall reference a Lifecycle defined in the **Lifecycles** section of the OCOM Specification.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 Entity should reuse an existing Lifecycle whenever applicable.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 Entity may define additional lifecycle constraints or specialized states if required by its business semantics.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Every Entity shall have a clearly defined Owner responsible for its business integrity and governance.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Ownership defines accountability rather than technical implementation.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Domains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Every Entity belongs to one primary Domain.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 Entity may interact with multiple Domains but shall have only one governing Domain.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Entities may establish relationships with other Entities.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Relationships shall be defined explicitly and shall not be implied.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Entities may emit, receive, or react to Events.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Events represent business facts and shall not directly modify Entity definitions.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Business Rules define the operational policies governing an Entity.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Business Rules shall be expressed independently of software implementation.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Invariants define conditions that shall always remain true throughout the Entity lifecycle.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Violation of an Invariant indicates an invalid operational state.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Constraints define operational limitations, validation requirements, and compliance obligations applicable to an Entity.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 Entity conforms to this specification if it: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follows the standard Entity structure;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references a valid Lifecycle;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defines mandatory attributes;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specifies ownership and governing Domain;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defines applicable business rules;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defines applicable invariants;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complies with the OCOM Core and Modeling Rules.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Standard Lifecycle Categories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Entities typically reference one of the following Lifecycle categories: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Financial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Commercial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Operational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Organizational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Additional Lifecycle categories may be introduced in future versions of the specification.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