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Traffic Source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Traffic Source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Traffic Source represents an origin from which visitors, users, customers, or business opportunities are acquired.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Traffic Source is a business Entity representing a channel, platform, partner, or mechanism responsible for generating inbound traffic.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Traffic Source exists independently of marketing platforms, analytics tools, or advertising technologies.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Traffic Source Entity provides a standardized representation of acquisition channels across marketing, sales, analytics, and business operations.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Traffic Source enables consistent attribution, performance measurement, optimization, and governance of customer acquisition activities.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Traffic Source: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one acquisition channel;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may generate multiple Leads and Players;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participate in multiple Campaigns and Offers;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implementation technologies.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Traffic Source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Traffic Source may define: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Platform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Medium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Campaign Reference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GEO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Cost Model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Tracking Identifier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Traffic Source shall have a clearly defined Owner responsible for governance and performance management.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**Marketing**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Entity shall conform to the **Commercial Lifecycle** unless otherwise specified.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Traffic Source may be related to: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Lead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Player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Landing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GEO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Traffic Source Created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Traffic Source Activated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Traffic Source Updated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Traffic Source Suspended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Traffic Source Retired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 Traffic Source shall have exactly one Owner.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 Traffic Source may support multiple Campaigns.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 Traffic Source may generate multiple Leads and Players.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Performance metrics shall remain attributable to the originating Traffic Source.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Every Traffic Source shall have a unique Identifier.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Traffic Source shall belong to one governing Domain.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Every Traffic Source shall reference a valid Lifecycle.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Traffic Source shall have one Owner.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Traffic Source shall comply with applicable privacy regulations, attribution policies, marketing governance, and contractual obligations.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Traffic Source conforms to this specification if it: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references the Commercial Lifecycle;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Organic Search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Paid Search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Affiliate Network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Social Media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Email Marketing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Referral Program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Display Advertising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Direct Traffic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