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Transaction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Transaction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Transaction represents an immutable operational record describing a completed business operation that changes the state of one or more entities.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Transaction is an operational entity representing a recorded change of state within an operational system.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Transaction documents that a business operation has occurred and provides a permanent record of that operation.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Transaction captures the execution of an operational action.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Unlike a Payment, which represents the transfer of value, a Transaction represents the operational fact that a business action has been performed.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Transactions establish traceability, accountability, and auditability across the operational model.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Transaction: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represent one completed operational action;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be immutable once recorded;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shall remain traceable throughout its lifecycle;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shall belong to exactly one primary Domain;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may reference one or more related entities.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Type | Operational transaction type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Timestamp | Time the transaction occurred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Reference | External reference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Payment Reference | Associated Payment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Description | Human-readable description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Source System | Originating system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Correlation Identifier | Identifier linking related operations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Transaction shall have one responsible Owner.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Every Transaction shall belong to exactly one primary Domain.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Transaction may include the following operational states: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Executed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Reversed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Transaction Lifecycle defines all valid transitions between operational states.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Transaction may establish relationships with: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Wallet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Player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Vendor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PSP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Typical Events associated with a Transaction include: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Transaction Created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Transaction Executed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Transaction Failed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Transaction Reversed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Transaction Archived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Business Rules governing Transactions are implementation-specific.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authorization requirements;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reconciliation procedures;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settlement windows;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accounting policies;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retention periods.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Every Transaction shall have exactly one Identifier.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Every Transaction shall have one current State.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Every Transaction shall belong to exactly one primary Domain.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Every Transaction shall follow one defined Lifecycle.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An Executed Transaction shall be immutable.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 Reversed Transaction shall preserve the original Transaction history.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Transaction shall never: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exist without a State;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exist without an Owner;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Transaction conforms to this specification only if all mandatory requirements defined in this document are satisfied.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