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section provides informative examples demonstrating how the OCOM Specification may be applied across different industries and business scenarios.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Examples are intended to illustrate architectural concepts, Business Objects, Lifecycles, Relationships, Capabilities, Policies, Memory, and AI within realistic enterprise environments.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Examples are non-normative and do not define additional requirements beyond the OCOM Specification.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Examples section demonstrates practical applications of OCOM across multiple industries.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Examples may include: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Domain interactions;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Cross-Domain workflows;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AI-assisted operations;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Memory integration;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Governance scenarios;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End-to-end business processes.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Organization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Examples are organized by industry.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Current example collections include: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FinTech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Healthcare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iGaming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Manufacturing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SaaS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Additional industries may be introduced in future revisions.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Examples are intended to: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demonstrate practical application of OCOM;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illustrate Business Object modeling;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explain Cross-Domain collaboration;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show enterprise AI integration;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demonstrate Memory usage;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provide reference implementations for architects.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Consistency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All examples shall remain consistent with the normative OCOM Specification.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Examples shall not redefine: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Domain Ownership;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Lifecycle semantics;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Governance rules.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an example conflicts with the normative specification, the specification takes precedence.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Industry Independence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Industry examples demonstrate specialization without changing the core architecture.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same OCOM principles apply regardless of industry.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Example Structure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Individual examples should include, where applicable: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Business Context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Business Objects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Participating Domains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Capabilities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AI Participation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Expected Outcomes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Not every example is required to include every section.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are informative.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Conformance is determined exclusively by the normative OCOM Specification.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