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Bonus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EXAMPLES-IGAMING-BONUS-01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Bonus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 Bonus is managed independently while interacting with Players, Accounts, Wallets, Campaigns, and Payments through governed business relationships.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Bonus represents a promotional entitlement offered to a Player.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Bonus progresses through its own lifecycle, may be subject to eligibility rules, wagering requirements, expiration policies, and financial constraints.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Bonus remains an independent Business Object regardless of how it is delivered or consumed.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Bonus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BON-400592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Bonus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Bonus is assigned to Player.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Bonus is associated with Account.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Bonus may credit Wallet.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Bonus originates from Campaign.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Bonus may require Payment.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Bonus may generate Bonus Transactions.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Bonus may become subject to Fraud Review.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Relationships do not transfer Bonus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Activated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Consumed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├── Expired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├── Cancelled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└── Revoked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Bonus Created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Bonus Assigned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Bonus Activated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Bonus Credited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Bonus Consumed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Bonus Expired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Bonus Revoked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Business Events establish an immutable operational history.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Create Bonus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Assign Bonus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Activate Bonus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Credit Bonus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Consume Bonus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Expire Bonus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Revoke Bonus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Capabilities execute business operations on the Bonus.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Eligibility requirements shall be satisfied before assignment.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Wagering conditions shall be enforced.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Expiration rules shall be evaluated automatically.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Revocation shall be auditable.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Every Bonus operation shall generate a Business Event.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eligibility evaluations;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fraud observations;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campaign effectiveness;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customer interaction history;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operational recommendations;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AI assessments.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Operational Memory supplements the Bonus without changing its authoritative business state.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recommend personalized bonuses;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identify bonus abuse;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estimate campaign effectiveness;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detect unusual redemption patterns;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recommend bonus optimization.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Bonus remains an independent Business Object while preserving: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immutable operational history;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enterprise traceability;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operational memory;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AI-assisted optimization.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Wallet Example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Campaign 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