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Campaign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EXAMPLES-IGAMING-CAMPAIGN-01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Campaign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a Campaign coordinates commercial activities across multiple enterprise Domains while preserving ownership, governance, lifecycle integrity, and operational traceability.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Campaign represents a planned commercial initiative intended to achieve specific business objectives such as player acquisition, retention, reactivation, or promotional engagement.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Campaign coordinates multiple Business Objects while remaining independently governed throughout its lifecycle.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Marketing Domain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CMP-900412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Campaign Identity uniquely identifies the Business Object throughout its lifecycle.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Campaign targets Players.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Campaign involves Affiliates.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Campaign distributes Bonuses.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Campaign generates Commissions.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Campaign influences Payments.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Campaign produces Performance Metrics.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Relationships do not transfer Campaign ownership.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├── Cancelled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└── Suspended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Campaign Created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Campaign Approved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Campaign Activated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Bonus Assigned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Campaign Completed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Campaign Cancelled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Business Events establish an immutable operational history.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Create Campaign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Approve Campaign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Launch Campaign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Suspend Campaign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Complete Campaign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Cancel Campaign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Capabilities execute business operations on the Campaign.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Campaign approval shall precede activation.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Eligibility rules shall be defined before launch.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Promotional conditions shall remain auditable.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Campaign completion shall preserve historical records.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lifecycle transition shall generate a Business Event.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planning decisions;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execution observations;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optimization recommendations;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campaign performance analysis;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operational issues;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evidence references.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Operational Memory supplements Campaign management without changing authoritative business information.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recommend audience segmentation;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optimize campaign timing;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estimate campaign performance;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identify underperforming campaigns;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recommend budget adjustments.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Campaign remains the authoritative Business Object representing a commercial initiative while preserving: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immutable operational history;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AI-assisted optimization.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Affiliate Example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Bonus Example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Meta/Lifecycle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