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Fraud Case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EXAMPLES-IGAMING-FRAUD-CASE-01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Fraud Case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fraud investigations are managed independently while coordinating evidence, business decisions, and related Business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Fraud Case represents a business investigation initiated when suspicious activity is detected.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Fraud Case coordinates evidence collection, investigation activities, risk assessment, and business decisions while maintaining an independent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Fraud Case may involve multiple Business Objects simultaneously.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Fraud Case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Risk &amp; Fraud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FRD-700328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Fraud Case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Fraud Case investigates Player.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Fraud Case references Account.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Fraud Case references Wallet.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Fraud Case references Payments.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Fraud Case references Game Sessions.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Fraud Case references Bonuses.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Fraud Case references Affiliate.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Fraud Case may reference KYC Case.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Fraud Case may generate Support Case.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Under Investigation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Decision Made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Under Investigation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├── Escalated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├── Additional Evidence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└── Reopened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Fraud Case Opened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Evidence Collected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Investigation Started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Risk Score Updated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Investigation Escalated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Decision Recorded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Fraud Case Closed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Business Events establish an immutable investigation history.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Open Fraud Case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Collect Evidence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Assess Risk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Escalate Investigation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Record Decision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Reopen Case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Close Fraud Case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Capabilities execute business operations on the Fraud Case.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Every investigation shall preserve supporting evidence.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Decisions shall be auditable.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Evidence shall remain immutable after submission.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Case ownership shall be maintained throughout the lifecycle.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Every lifecycle transition shall generate a Business Event.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investigator observations;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behavioral patterns;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linked incidents;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historical investigation outcomes;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Operational Memory supplements the Fraud Case without replacing authoritative evidence.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identify suspicious behavioral patterns;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correlate related fraud cases;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estimate fraud probability;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recommend investigation priorities;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summarize investigation findings.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Fraud Case remains the authoritative Business Object representing fraud investigations while preserving: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immutable investigation history;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AI-assisted investigation support.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Wallet Example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Bonus Example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Affiliate Example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Game Session Example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KYC Case Example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