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Layered Memory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layered memory architecture within the OCOM Memory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Different kinds of information have different operational value, persistence, and governance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Layered Memory classifies memory according to its operational lifetime and business significance.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Layered Memory is a hierarchical memory model that separates operational knowledge into multiple persistence levels.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layer has distinct retention, governance, and write-back characteristics.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Layered Memory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separate temporary and persistent knowledge;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minimize unnecessary persistence;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preserve organizational knowledge;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support explainable AI;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support governed write-back.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Memory Layers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OCOM Specification defines four standard memory layers.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Transient Memory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Transient Memory exists only during execution.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task-scoped;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non-persistent;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automatically discarded;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isolated.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prompt context;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intermediate reasoning;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temporary calculations;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execution variables.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Stage Memory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Stage Memory survives multiple execution steps within the same business activity.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workflow-scoped;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temporary;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shared between AI Agents;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automatically expires.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onboarding process;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fraud investigation;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customer support conversation;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approval workflow.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Long-Term Memory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Long-Term Memory stores reusable operational knowledge.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persistent;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evidence-backed;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reusable.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customer preferences;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supplier history;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operational knowledge;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business patterns.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Persistent Memory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Persistent Memory represents authoritative organizational information.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organization-owned;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externally managed.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ERP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Persistent Memory is considered the system of record.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Memory 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Typical information progression follows this path: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Transient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Promotion between layers shall follow organizational governance policies.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Layer Promotion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Information shall not automatically move to a higher layer.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Promotion should consider: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business value;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approval requirements.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Layer Demotion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Memory may move to a lower layer when: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confidence decreases;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evidence becomes invalid;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retention expires;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business rules require removal.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Memory Components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Every memory layer may use: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Confidence Model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Write-back Governance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Retention Policies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support all defined memory layers;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preserve separation between layers;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enforce promotion rules;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preserve provenance across layers.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