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Relationship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META-RELATIONSHIP-01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Relationship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Relationship represents the semantic association between two or more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enable organizations to model operational structures, dependencies, ownership, collaboration, and business meaning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Relationship is a governed semantic association between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Relationship expresses how Objects are connected within the operational model.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Unlike a Reference, a Relationship conveys business meaning.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Relationships enable organizations to describe operational reality as interconnected Objects rather than isolated elements.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the structural foundation for business models, workflows, governance, memory, knowledge, and artificial intelligence.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Relationship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connect identifiable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express business semantics;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remain explicit;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Relationship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Source Object;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Target Object;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Relationship Type.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Relationship may additionally define: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Direction;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Status;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Governance Rules.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Relationship Types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Organizations may define Relationship Types including: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Dependency;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Composition;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Association;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Membership;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Responsibility;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Assignment;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Delegation;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Collaboration;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Sequence.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Additional relationship types may be introduced without affecting the model.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Direction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Relationships may be: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Directed;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Bidirectional;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Undirected.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Organizations shall define direction according to business semantics.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Cardinality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Relationships may define cardinality.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One-to-One;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One-to-Many;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Many-to-One;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Many-to-Many.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Cardinality rules are organization-specific.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Relationships may possess an independent lifecycle.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Creating, modifying, or retiring a Relationship shall not change the Identity of participating Objects.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 history should be preserved.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Relationships may define operational constraints including: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mandatory participation;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optional participation;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uniqueness;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temporal validity;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organizational restrictions.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Constraint definitions are governed by the Constraint specification.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Relationship creation, modification, and retirement shall comply with applicable organizational policies.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Organizations should define approval requirements according to business risk.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relationship history;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participating Objects;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policy references.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Relationship interacts with: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Reference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Relationship defines business semantics, while Reference provides object connectivity.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Relationship specification does not prescribe: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database relationships;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graph technologies;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object models;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Organizations remain free to implement Relationships using any compatible architecture.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define Relationships explicitly;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preserve business semantics;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maintain traceability;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