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Reference Architecture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**Status:** Informative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Reference Architecture demonstrates how the concepts defined by the OCOM Specification can be composed into a coherent enterprise architecture.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Unlike the normative sections of the specification, this section is informative.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It does not prescribe implementation technologies or deployment strategies.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Instead, it illustrates architectural patterns that preserve the principles of object-centric enterprise operation.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Scope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Reference Architecture describes: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enterprise composition;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Business Object collaboration;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Domain responsibilities;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Business Event flow;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Operational Memory integration;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AI participation;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governance boundaries;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integration patterns.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Objectives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Reference Architecture aims to: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demonstrate end-to-end architecture;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provide implementation guidance;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establish reusable architectural patterns;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promote interoperability between implementations;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illustrate enterprise-scale object-centric design.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Relationship to the Specification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This section complements: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Core Principles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Meta Model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Models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Memory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AI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Examples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Normative behavior remains defined by the Specification itself.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Architecture Layers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 Reference Architecture consists of the following views: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Enterprise Architecture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Domain Architecture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Business Object Architecture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Business Event Architecture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Operational Memory Architecture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AI Architecture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Governance Architecture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Integration Architecture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Deployment Patterns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Each view focuses on one architectural concern while remaining consistent with the overall object-centric operating model.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 Architectural Principles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The Reference Architecture follows the principles defined by OCOM: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Business Objects are the primary architectural units.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Domains own Business Objects.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Business Events record state transitions.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Operational Memory augments business context.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AI assists but does not replace business authority.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Governance applies across all architectural layers.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 Informative Status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The Reference Architecture is informative.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Implementations may vary provided they preserve the normative principles defined by the OCOM Specification.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