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626.259842519687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zj5vaog9t7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Разбор домашнего задания (реализация фабрики)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_6zj5vaog9t7n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a7uygyeofm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Лямбда-выражения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_9a7uygyeofmc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9zammv7teb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_79zammv7tebd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472q9gq6ow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Библиотеки классов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_h472q9gq6owa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2o73u3v508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.NET Standard vs .NET Core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_c2o73u3v508g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uwq2j2b6p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Настройка зависимостей между проектами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_xuwq2j2b6pk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gocefnix6e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_wgocefnix6ez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pohwq4t9y8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Ссылки на DLL-библиотеки и NuGet-пакеты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_lpohwq4t9y8s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spk983r1tr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Chatbot: Постановка задачи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_3spk983r1trw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54gz6ny2i0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Основная функциональность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_754gz6ny2i0g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5d4qmrbggf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Дополнительные требования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_h5d4qmrbggfo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626.259842519687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7mphfdcuud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_l7mphfdcuudx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6zj5vaog9t7n" w:id="0"/>
      <w:bookmarkEnd w:id="0"/>
      <w:r w:rsidDel="00000000" w:rsidR="00000000" w:rsidRPr="00000000">
        <w:rPr>
          <w:rtl w:val="0"/>
        </w:rPr>
        <w:t xml:space="preserve">Разбор домашнего задания (реализация фабрики)</w:t>
      </w:r>
    </w:p>
    <w:p w:rsidR="00000000" w:rsidDel="00000000" w:rsidP="00000000" w:rsidRDefault="00000000" w:rsidRPr="00000000" w14:paraId="00000010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Подробно рассмотреть реализацию фабрики.</w:t>
      </w:r>
    </w:p>
    <w:p w:rsidR="00000000" w:rsidDel="00000000" w:rsidP="00000000" w:rsidRDefault="00000000" w:rsidRPr="00000000" w14:paraId="00000011">
      <w:pPr>
        <w:spacing w:after="200" w:before="0" w:lineRule="auto"/>
        <w:rPr/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ILogWriter </w:t>
      </w:r>
      <w:r w:rsidDel="00000000" w:rsidR="00000000" w:rsidRPr="00000000">
        <w:rPr>
          <w:rtl w:val="0"/>
        </w:rPr>
        <w:t xml:space="preserve">лучше унаследовать от IDisposable, так как конкретная имплементация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ILogWriter </w:t>
      </w:r>
      <w:r w:rsidDel="00000000" w:rsidR="00000000" w:rsidRPr="00000000">
        <w:rPr>
          <w:rtl w:val="0"/>
        </w:rPr>
        <w:t xml:space="preserve">может использовать неуправляемые ресурсы. В нашем случае мы даже знаем, что так и будет! Ну а если неуправляемых ресурсов нет, всегда можно оставить тело метода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Dispose</w:t>
      </w:r>
      <w:r w:rsidDel="00000000" w:rsidR="00000000" w:rsidRPr="00000000">
        <w:rPr>
          <w:rtl w:val="0"/>
        </w:rPr>
        <w:t xml:space="preserve"> пустым.</w:t>
      </w:r>
    </w:p>
    <w:p w:rsidR="00000000" w:rsidDel="00000000" w:rsidP="00000000" w:rsidRDefault="00000000" w:rsidRPr="00000000" w14:paraId="00000012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Абстрактный класс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AbstractLogWriter</w:t>
      </w:r>
      <w:r w:rsidDel="00000000" w:rsidR="00000000" w:rsidRPr="00000000">
        <w:rPr>
          <w:rtl w:val="0"/>
        </w:rPr>
        <w:t xml:space="preserve"> остался как есть.</w:t>
        <w:br w:type="textWrapping"/>
        <w:t xml:space="preserve">Можно обратить внимание на унификацию формата через закрытое константное поле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_logRecordFormat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Собственно по самой фабрике: здесь не получится сделать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T GetLogWriter&lt;T&gt;</w:t>
      </w:r>
      <w:r w:rsidDel="00000000" w:rsidR="00000000" w:rsidRPr="00000000">
        <w:rPr>
          <w:rtl w:val="0"/>
        </w:rPr>
        <w:t xml:space="preserve">, так как конструкторы разных имплементаций требуют наличия различных параметров (а писать вызывать конструктор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new T()</w:t>
      </w:r>
      <w:r w:rsidDel="00000000" w:rsidR="00000000" w:rsidRPr="00000000">
        <w:rPr>
          <w:rtl w:val="0"/>
        </w:rPr>
        <w:t xml:space="preserve"> с параметрами уже нельзя). Поэтому наш метод возвращает интерфейс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ILogWriter</w:t>
      </w:r>
      <w:r w:rsidDel="00000000" w:rsidR="00000000" w:rsidRPr="00000000">
        <w:rPr>
          <w:rtl w:val="0"/>
        </w:rPr>
        <w:t xml:space="preserve">, который потом уже будет приводиться к запрошенному типу данных.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9a7uygyeofmc" w:id="1"/>
      <w:bookmarkEnd w:id="1"/>
      <w:r w:rsidDel="00000000" w:rsidR="00000000" w:rsidRPr="00000000">
        <w:rPr>
          <w:rtl w:val="0"/>
        </w:rPr>
        <w:t xml:space="preserve">Лямбда-выражения</w:t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Экземпляр делегата можно инициализировать лямбда-выражением.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Отличительной чертой лямбд является оператор </w:t>
      </w:r>
      <w:r w:rsidDel="00000000" w:rsidR="00000000" w:rsidRPr="00000000">
        <w:rPr>
          <w:b w:val="1"/>
          <w:rtl w:val="0"/>
        </w:rPr>
        <w:t xml:space="preserve">=&gt;</w:t>
      </w:r>
      <w:r w:rsidDel="00000000" w:rsidR="00000000" w:rsidRPr="00000000">
        <w:rPr>
          <w:rtl w:val="0"/>
        </w:rPr>
        <w:t xml:space="preserve">  , который делит выражение на </w:t>
      </w:r>
      <w:r w:rsidDel="00000000" w:rsidR="00000000" w:rsidRPr="00000000">
        <w:rPr>
          <w:b w:val="1"/>
          <w:rtl w:val="0"/>
        </w:rPr>
        <w:t xml:space="preserve">левую часть с параметрами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правую с телом метода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  <w:t xml:space="preserve">Например, если определён так класс-делегат</w:t>
      </w:r>
    </w:p>
    <w:tbl>
      <w:tblPr>
        <w:tblStyle w:val="Table1"/>
        <w:tblW w:w="106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6"/>
        <w:tblGridChange w:id="0">
          <w:tblGrid>
            <w:gridCol w:w="106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delegate int DoCalculation(int number1, int number2);</w:t>
            </w:r>
          </w:p>
        </w:tc>
      </w:tr>
    </w:tbl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  <w:t xml:space="preserve">то экземпляр может быть создан как обычным приравниванием метода с необходимой сигнатурой:</w:t>
      </w:r>
    </w:p>
    <w:tbl>
      <w:tblPr>
        <w:tblStyle w:val="Table2"/>
        <w:tblW w:w="106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6"/>
        <w:tblGridChange w:id="0">
          <w:tblGrid>
            <w:gridCol w:w="106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DoCalculation action1 = Sum; // assuming this method defined</w:t>
            </w:r>
          </w:p>
        </w:tc>
      </w:tr>
    </w:tbl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/>
      </w:pPr>
      <w:r w:rsidDel="00000000" w:rsidR="00000000" w:rsidRPr="00000000">
        <w:rPr>
          <w:rtl w:val="0"/>
        </w:rPr>
        <w:t xml:space="preserve">а может быть записан в более короткой форме лямбда-выражения:</w:t>
      </w:r>
    </w:p>
    <w:tbl>
      <w:tblPr>
        <w:tblStyle w:val="Table3"/>
        <w:tblW w:w="106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6"/>
        <w:tblGridChange w:id="0">
          <w:tblGrid>
            <w:gridCol w:w="106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DoCalculation action2 = (int x, int y) =&gt; x * y; // method even isn’t required</w:t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/>
      </w:pPr>
      <w:r w:rsidDel="00000000" w:rsidR="00000000" w:rsidRPr="00000000">
        <w:rPr>
          <w:rtl w:val="0"/>
        </w:rPr>
        <w:t xml:space="preserve">Если подходить строго, это именно лямбда-выражение. </w:t>
        <w:br w:type="textWrapping"/>
        <w:t xml:space="preserve">Но это может быть и лямбда-оператор, если мы заключим его в блочные скобки:</w:t>
      </w:r>
    </w:p>
    <w:tbl>
      <w:tblPr>
        <w:tblStyle w:val="Table4"/>
        <w:tblW w:w="106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6"/>
        <w:tblGridChange w:id="0">
          <w:tblGrid>
            <w:gridCol w:w="106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DoCalculation action3 =</w:t>
            </w:r>
          </w:p>
          <w:p w:rsidR="00000000" w:rsidDel="00000000" w:rsidP="00000000" w:rsidRDefault="00000000" w:rsidRPr="00000000" w14:paraId="00000022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(int x, int y) =&gt;</w:t>
            </w:r>
          </w:p>
          <w:p w:rsidR="00000000" w:rsidDel="00000000" w:rsidP="00000000" w:rsidRDefault="00000000" w:rsidRPr="00000000" w14:paraId="00000023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24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 xml:space="preserve">int z = x * y;</w:t>
            </w:r>
          </w:p>
          <w:p w:rsidR="00000000" w:rsidDel="00000000" w:rsidP="00000000" w:rsidRDefault="00000000" w:rsidRPr="00000000" w14:paraId="00000025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 xml:space="preserve">return z;</w:t>
            </w:r>
          </w:p>
          <w:p w:rsidR="00000000" w:rsidDel="00000000" w:rsidP="00000000" w:rsidRDefault="00000000" w:rsidRPr="00000000" w14:paraId="00000026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};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rtl w:val="0"/>
        </w:rPr>
        <w:t xml:space="preserve">Допускается не указывать типы аргументов, ведь компилятор и так знает тип и сигнатуру вашего делегата.</w:t>
      </w:r>
    </w:p>
    <w:p w:rsidR="00000000" w:rsidDel="00000000" w:rsidP="00000000" w:rsidRDefault="00000000" w:rsidRPr="00000000" w14:paraId="00000029">
      <w:pPr>
        <w:spacing w:after="200" w:lineRule="auto"/>
        <w:rPr/>
      </w:pPr>
      <w:r w:rsidDel="00000000" w:rsidR="00000000" w:rsidRPr="00000000">
        <w:rPr>
          <w:rtl w:val="0"/>
        </w:rPr>
        <w:t xml:space="preserve">В случае если имеется лишь один аргумент то можно опустить обрамляющие его скобки.</w:t>
      </w:r>
    </w:p>
    <w:p w:rsidR="00000000" w:rsidDel="00000000" w:rsidP="00000000" w:rsidRDefault="00000000" w:rsidRPr="00000000" w14:paraId="0000002A">
      <w:pPr>
        <w:spacing w:after="200" w:lineRule="auto"/>
        <w:rPr/>
      </w:pPr>
      <w:r w:rsidDel="00000000" w:rsidR="00000000" w:rsidRPr="00000000">
        <w:rPr>
          <w:rtl w:val="0"/>
        </w:rPr>
        <w:t xml:space="preserve">Если в сигнатуре делегата нет аргументов, то необходимо указать пустые скобки.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Код доступен </w:t>
      </w:r>
      <w:r w:rsidDel="00000000" w:rsidR="00000000" w:rsidRPr="00000000">
        <w:rPr>
          <w:b w:val="1"/>
          <w:rtl w:val="0"/>
        </w:rPr>
        <w:t xml:space="preserve">L15_C11_lambda_expressions_demo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79zammv7tebd" w:id="2"/>
      <w:bookmarkEnd w:id="2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Переписать расчёт периметра и площади окружности на использование лямбда-выражений вместо методов класса.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функцию вычисление диаметра и также вывести результат расчёта диаметра на экран.</w:t>
      </w:r>
    </w:p>
    <w:p w:rsidR="00000000" w:rsidDel="00000000" w:rsidP="00000000" w:rsidRDefault="00000000" w:rsidRPr="00000000" w14:paraId="0000002F">
      <w:pPr>
        <w:spacing w:before="200" w:lineRule="auto"/>
        <w:rPr/>
      </w:pPr>
      <w:r w:rsidDel="00000000" w:rsidR="00000000" w:rsidRPr="00000000">
        <w:rPr>
          <w:rtl w:val="0"/>
        </w:rPr>
        <w:t xml:space="preserve">Решение: </w:t>
      </w:r>
      <w:r w:rsidDel="00000000" w:rsidR="00000000" w:rsidRPr="00000000">
        <w:rPr>
          <w:b w:val="1"/>
          <w:rtl w:val="0"/>
        </w:rPr>
        <w:t xml:space="preserve">L15_C12_lambda_expressions_SW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472q9gq6owa" w:id="3"/>
      <w:bookmarkEnd w:id="3"/>
      <w:r w:rsidDel="00000000" w:rsidR="00000000" w:rsidRPr="00000000">
        <w:rPr>
          <w:rtl w:val="0"/>
        </w:rPr>
        <w:t xml:space="preserve">Библиотеки классов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Библиотека классов определяет типы и методы, которые могут быть вызваны из любого приложения или других библиотек.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Если вы создадите библиотеку классов, вы сможете по своему усмотрению распространять ее как независимый компонент или включить в состав одного или нескольких приложений.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Чтобы создать библиотеку классов необходимо выбрать соответствующий тип проекта - Class Library.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Существует несколько возможностей создать библиотеку классов: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Library (.NET Core)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Library (.NET Standard)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c2o73u3v508g" w:id="4"/>
      <w:bookmarkEnd w:id="4"/>
      <w:r w:rsidDel="00000000" w:rsidR="00000000" w:rsidRPr="00000000">
        <w:rPr>
          <w:rtl w:val="0"/>
        </w:rPr>
        <w:t xml:space="preserve">.NET Standard vs .NET Core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Рассказать про .NET Standard и его отличие от использования .NET Core.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xuwq2j2b6pk" w:id="5"/>
      <w:bookmarkEnd w:id="5"/>
      <w:r w:rsidDel="00000000" w:rsidR="00000000" w:rsidRPr="00000000">
        <w:rPr>
          <w:rtl w:val="0"/>
        </w:rPr>
        <w:t xml:space="preserve">Настройка зависимостей между проектами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Чтобы подключить библиотеку классов к проекту, в котором планируется использовать её классы необходимо в Solution Explorer открыть контекстное меню на пункте Dependencies (зависимости) и выбрать пункт Add Reference (добавить ссылку).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 открывшемся диалоговом окне выбрать слева пункт Projects (проекты) и отметить галочками необходимые проекты в солюшене и нажать OK.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wgocefnix6ez" w:id="6"/>
      <w:bookmarkEnd w:id="6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За основу берётся код самостоятельной работы, выполненной последней на 15 ом уроке: классы Circle и CircleOperation.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Класс Circle вынести в отдельную сборку с именем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Calculator.Figure типа .NET Standard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Класс CircleOperation вынести в отдельную сборку с именем Calculator.Operation типа .NET Core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консольное приложение .NET Core в которое поместить логику расчёта параметров окружности используя внешние классы.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 соответствующие библиотеки классы Square и SquareOperation для описания квадрата и расчёта его периметра и площади.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консольном приложении также рассчитать и вывести параметры квадрата.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lpohwq4t9y8s" w:id="7"/>
      <w:bookmarkEnd w:id="7"/>
      <w:r w:rsidDel="00000000" w:rsidR="00000000" w:rsidRPr="00000000">
        <w:rPr>
          <w:rtl w:val="0"/>
        </w:rPr>
        <w:t xml:space="preserve">Ссылки на DLL-библиотеки и NuGet-пакеты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Показать, что если сослаться на уже собранную библиотеку (DLL-файл), то по прежнему всё работает.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Показать как можно добавлять сторонние NuGet-пакеты в свой проект.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Можно в качестве примера добавить Newtonsoft.Json пакет и за одно рассказать про JSON-формат, сериализацию/десериализацию объектов (методы Convert.SerializeObject, Convert.DeserializeObject&lt;T&gt;)</w: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3spk983r1trw" w:id="8"/>
      <w:bookmarkEnd w:id="8"/>
      <w:r w:rsidDel="00000000" w:rsidR="00000000" w:rsidRPr="00000000">
        <w:rPr>
          <w:rtl w:val="0"/>
        </w:rPr>
        <w:t xml:space="preserve">Chatbot: Постановка задачи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Разработать программу, которую можно было бы зарегистрировать в качестве бота одного из чат сервисов. 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754gz6ny2i0g" w:id="9"/>
      <w:bookmarkEnd w:id="9"/>
      <w:r w:rsidDel="00000000" w:rsidR="00000000" w:rsidRPr="00000000">
        <w:rPr>
          <w:rtl w:val="0"/>
        </w:rPr>
        <w:t xml:space="preserve">Основная функциональность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Принимать в сообщении будильник: сообщение и время срабатывания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назначенное время посылать в ответ сообщение-напоминание.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h5d4qmrbggfo" w:id="10"/>
      <w:bookmarkEnd w:id="10"/>
      <w:r w:rsidDel="00000000" w:rsidR="00000000" w:rsidRPr="00000000">
        <w:rPr>
          <w:rtl w:val="0"/>
        </w:rPr>
        <w:t xml:space="preserve">Дополнительные требования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Сообщения должны оставаться в хранилище программы даже после срабатывания.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первой версии приложения, хранилище будет in-memory коллекцией, однако оно должно быть написано так, чтобы обеспечить легкую замену другой реализацией в будущих версиях.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l7mphfdcuudx" w:id="11"/>
      <w:bookmarkEnd w:id="11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Подумать, какие можно выделить интерфейсы и классы для решения задачи чат бота?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они будут взаимодействовать между собой?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На уроке будем обсуждать предложенные варианты, выработаем консолидированный подход.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tabs>
        <w:tab w:val="right" w:pos="9060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tabs>
        <w:tab w:val="right" w:pos="9060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16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