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67"/>
        <w:gridCol w:w="916"/>
        <w:gridCol w:w="1553"/>
        <w:gridCol w:w="2"/>
        <w:gridCol w:w="1182"/>
        <w:gridCol w:w="975"/>
        <w:gridCol w:w="1187"/>
      </w:tblGrid>
      <w:tr>
        <w:trPr/>
        <w:tc>
          <w:tcPr>
            <w:tcW w:w="107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color w:val="auto"/>
                <w:sz w:val="24"/>
                <w:szCs w:val="24"/>
                <w:lang w:val="ar-SA"/>
              </w:rPr>
              <w:t>ЧЕК ЛИСТ ПО ПРЕДОСТАВЛЕНИЮ МУНИЦИПАЛЬНЫХ УСЛУГ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Наименование услуги</w:t>
            </w:r>
          </w:p>
        </w:tc>
        <w:tc>
          <w:tcPr>
            <w:tcW w:w="8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common&amp;&amp;servname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СИНКОПА</w:t>
            </w:r>
          </w:p>
        </w:tc>
        <w:tc>
          <w:tcPr>
            <w:tcW w:w="2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 xml:space="preserve">№ </w:t>
            </w: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common&amp;&amp;sinkopa</w:t>
            </w:r>
          </w:p>
        </w:tc>
        <w:tc>
          <w:tcPr>
            <w:tcW w:w="2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common&amp;&amp;skpdate</w:t>
            </w:r>
          </w:p>
        </w:tc>
        <w:tc>
          <w:tcPr>
            <w:tcW w:w="334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Срок проверки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Рег. в журнале</w:t>
            </w:r>
          </w:p>
        </w:tc>
        <w:tc>
          <w:tcPr>
            <w:tcW w:w="2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 xml:space="preserve">№ </w:t>
            </w: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common&amp;&amp;regnum</w:t>
            </w:r>
          </w:p>
        </w:tc>
        <w:tc>
          <w:tcPr>
            <w:tcW w:w="2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common&amp;&amp;regdate</w:t>
            </w:r>
          </w:p>
        </w:tc>
        <w:tc>
          <w:tcPr>
            <w:tcW w:w="334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special&amp;&amp;checkdate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Адрес</w:t>
            </w:r>
          </w:p>
        </w:tc>
        <w:tc>
          <w:tcPr>
            <w:tcW w:w="8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special&amp;&amp;areaaddr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Кадастровый номер</w:t>
            </w:r>
          </w:p>
        </w:tc>
        <w:tc>
          <w:tcPr>
            <w:tcW w:w="8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Source Han Sans CN" w:cs="Times New Roman"/>
                <w:color w:val="2A6099"/>
                <w:kern w:val="0"/>
                <w:sz w:val="24"/>
                <w:szCs w:val="24"/>
                <w:lang w:val="ar-SA" w:eastAsia="zh-CN" w:bidi="hi-IN"/>
              </w:rPr>
            </w:pPr>
            <w:r>
              <w:rPr>
                <w:rFonts w:eastAsia="Source Han Sans CN" w:cs="Times New Roman"/>
                <w:color w:val="2A6099"/>
                <w:kern w:val="0"/>
                <w:sz w:val="24"/>
                <w:szCs w:val="24"/>
                <w:lang w:val="ar-SA" w:eastAsia="zh-CN" w:bidi="hi-IN"/>
              </w:rPr>
              <w:t>special&amp;&amp;listkadnum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Вид права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area&amp;&amp;rights</w:t>
            </w:r>
          </w:p>
        </w:tc>
        <w:tc>
          <w:tcPr>
            <w:tcW w:w="3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area&amp;&amp;size</w:t>
            </w: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 xml:space="preserve"> кв.м.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Заявитель</w:t>
            </w:r>
          </w:p>
        </w:tc>
        <w:tc>
          <w:tcPr>
            <w:tcW w:w="4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Source Han Sans CN" w:cs="Times New Roman"/>
                <w:color w:val="2A6099"/>
                <w:kern w:val="0"/>
                <w:sz w:val="24"/>
                <w:szCs w:val="24"/>
                <w:lang w:val="ar-SA" w:eastAsia="zh-CN" w:bidi="hi-IN"/>
              </w:rPr>
            </w:pPr>
            <w:r>
              <w:rPr>
                <w:rFonts w:eastAsia="Source Han Sans CN" w:cs="Times New Roman"/>
                <w:color w:val="2A6099"/>
                <w:kern w:val="0"/>
                <w:sz w:val="24"/>
                <w:szCs w:val="24"/>
                <w:lang w:val="ar-SA" w:eastAsia="zh-CN" w:bidi="hi-IN"/>
              </w:rPr>
              <w:t>special&amp;&amp;clientname</w:t>
            </w:r>
          </w:p>
        </w:tc>
        <w:tc>
          <w:tcPr>
            <w:tcW w:w="118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Тер. зона</w:t>
            </w:r>
          </w:p>
        </w:tc>
        <w:tc>
          <w:tcPr>
            <w:tcW w:w="21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area&amp;&amp;terzone@alias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Цель использования</w:t>
            </w:r>
          </w:p>
        </w:tc>
        <w:tc>
          <w:tcPr>
            <w:tcW w:w="828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area&amp;&amp;target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Проверка паспорта</w:t>
            </w:r>
          </w:p>
        </w:tc>
        <w:tc>
          <w:tcPr>
            <w:tcW w:w="4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-118" w:hanging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Действителен</w:t>
            </w:r>
          </w:p>
        </w:tc>
        <w:tc>
          <w:tcPr>
            <w:tcW w:w="3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ДА/НЕТ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ИНН</w:t>
            </w:r>
          </w:p>
        </w:tc>
        <w:tc>
          <w:tcPr>
            <w:tcW w:w="8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Доверенность</w:t>
            </w:r>
          </w:p>
        </w:tc>
        <w:tc>
          <w:tcPr>
            <w:tcW w:w="4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Действительна</w:t>
            </w:r>
          </w:p>
        </w:tc>
        <w:tc>
          <w:tcPr>
            <w:tcW w:w="3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ДА/НЕТ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Возврат заявления</w:t>
            </w:r>
          </w:p>
        </w:tc>
        <w:tc>
          <w:tcPr>
            <w:tcW w:w="4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Приостановление услуги</w:t>
            </w:r>
          </w:p>
        </w:tc>
        <w:tc>
          <w:tcPr>
            <w:tcW w:w="3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Отказ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СРЗУ</w:t>
            </w:r>
          </w:p>
        </w:tc>
        <w:tc>
          <w:tcPr>
            <w:tcW w:w="4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Загружена в технокад</w:t>
            </w:r>
          </w:p>
        </w:tc>
        <w:tc>
          <w:tcPr>
            <w:tcW w:w="3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ДА/НЕТ</w:t>
            </w:r>
          </w:p>
        </w:tc>
      </w:tr>
      <w:tr>
        <w:trPr/>
        <w:tc>
          <w:tcPr>
            <w:tcW w:w="107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color w:val="auto"/>
                <w:sz w:val="24"/>
                <w:szCs w:val="24"/>
                <w:lang w:val="ar-SA"/>
              </w:rPr>
              <w:t>Вид запроса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color w:val="auto"/>
                <w:sz w:val="24"/>
                <w:szCs w:val="24"/>
                <w:lang w:val="ar-SA"/>
              </w:rPr>
              <w:t>№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color w:val="auto"/>
                <w:sz w:val="24"/>
                <w:szCs w:val="24"/>
                <w:lang w:val="ar-SA"/>
              </w:rPr>
              <w:t>Получен</w:t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поселение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О присвоении адреса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управление архитектуры и градостроительства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управлении имущественных отношений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Письмо об утверждении СРЗУ (в случае утв. СРЗУ)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Сведения из БТИ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Сведения из ЕГРЮЛ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Сведения из ЕГРН (объект)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Сведения из ЕГРН (субъект)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Справка о кадастровой стоимости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Гос. фонд данных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министерство природных ресурсов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министерство природных ресурсов (заказник)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Технические условия ООО «Крымск Водоканал»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Технические условия МУП «ВКХ»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Технические условия НАО «ТЭК»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УГООКН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Кубаньводкомплекс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5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В КВБУ</w:t>
            </w:r>
          </w:p>
        </w:tc>
        <w:tc>
          <w:tcPr>
            <w:tcW w:w="3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1077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1077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Зоны с особыми условиями использования территории</w:t>
            </w:r>
          </w:p>
        </w:tc>
      </w:tr>
      <w:tr>
        <w:trPr/>
        <w:tc>
          <w:tcPr>
            <w:tcW w:w="1077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2A6099"/>
                <w:sz w:val="24"/>
                <w:szCs w:val="24"/>
                <w:lang w:val="ar-SA"/>
              </w:rPr>
            </w:pPr>
            <w:r>
              <w:rPr>
                <w:rFonts w:cs="Times New Roman"/>
                <w:color w:val="2A6099"/>
                <w:sz w:val="24"/>
                <w:szCs w:val="24"/>
                <w:lang w:val="ar-SA"/>
              </w:rPr>
              <w:t>area&amp;&amp;spczone</w:t>
            </w:r>
          </w:p>
        </w:tc>
      </w:tr>
      <w:tr>
        <w:trPr/>
        <w:tc>
          <w:tcPr>
            <w:tcW w:w="1077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ar-SA"/>
              </w:rPr>
              <w:t>Примечания</w:t>
            </w:r>
          </w:p>
        </w:tc>
      </w:tr>
      <w:tr>
        <w:trPr/>
        <w:tc>
          <w:tcPr>
            <w:tcW w:w="1077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</w:tbl>
    <w:p>
      <w:pPr>
        <w:pStyle w:val="Normal1"/>
        <w:spacing w:before="0" w:after="160"/>
        <w:rPr/>
      </w:pPr>
      <w:r>
        <w:rPr/>
      </w:r>
    </w:p>
    <w:sectPr>
      <w:type w:val="nextPage"/>
      <w:pgSz w:w="11906" w:h="16838"/>
      <w:pgMar w:left="567" w:right="566" w:header="0" w:top="567" w:footer="0" w:bottom="28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Nimbus San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imbus Sans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Times New Roman"/>
        <w:sz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1">
    <w:name w:val="Heading 1"/>
    <w:basedOn w:val="Style12"/>
    <w:qFormat/>
    <w:pPr>
      <w:spacing w:before="440" w:after="60"/>
    </w:pPr>
    <w:rPr>
      <w:rFonts w:ascii="Nimbus Sans" w:hAnsi="Nimbus Sans" w:cs="Nimbus Sans"/>
      <w:b/>
      <w:sz w:val="34"/>
    </w:rPr>
  </w:style>
  <w:style w:type="paragraph" w:styleId="2">
    <w:name w:val="Heading 2"/>
    <w:basedOn w:val="Style12"/>
    <w:qFormat/>
    <w:pPr>
      <w:spacing w:before="440" w:after="60"/>
    </w:pPr>
    <w:rPr>
      <w:rFonts w:ascii="Nimbus Sans" w:hAnsi="Nimbus Sans" w:cs="Nimbus Sans"/>
      <w:b/>
      <w:sz w:val="28"/>
    </w:rPr>
  </w:style>
  <w:style w:type="paragraph" w:styleId="3">
    <w:name w:val="Heading 3"/>
    <w:basedOn w:val="Style12"/>
    <w:qFormat/>
    <w:pPr>
      <w:spacing w:before="440" w:after="60"/>
    </w:pPr>
    <w:rPr>
      <w:rFonts w:ascii="Nimbus Sans" w:hAnsi="Nimbus Sans" w:cs="Nimbus Sans"/>
      <w:b/>
      <w:sz w:val="24"/>
    </w:rPr>
  </w:style>
  <w:style w:type="paragraph" w:styleId="4">
    <w:name w:val="Heading 4"/>
    <w:basedOn w:val="Style12"/>
    <w:qFormat/>
    <w:pPr>
      <w:spacing w:before="440" w:after="60"/>
    </w:pPr>
    <w:rPr>
      <w:rFonts w:ascii="Nimbus Sans" w:hAnsi="Nimbus Sans" w:cs="Nimbus Sans"/>
      <w:b/>
      <w:sz w:val="24"/>
    </w:rPr>
  </w:style>
  <w:style w:type="character" w:styleId="DefaultParagraphFont">
    <w:name w:val="Default Paragraph Font"/>
    <w:qFormat/>
    <w:rPr/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paragraph" w:styleId="Style12">
    <w:name w:val="Заголовок"/>
    <w:basedOn w:val="Normal1"/>
    <w:next w:val="Style13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13">
    <w:name w:val="Body Text"/>
    <w:basedOn w:val="Normal1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Arial" w:hAnsi="Arial" w:cs="Arial"/>
    </w:rPr>
  </w:style>
  <w:style w:type="paragraph" w:styleId="Style15">
    <w:name w:val="Caption"/>
    <w:basedOn w:val="Normal1"/>
    <w:qFormat/>
    <w:pPr>
      <w:spacing w:before="120" w:after="120"/>
    </w:pPr>
    <w:rPr>
      <w:rFonts w:ascii="Arial" w:hAnsi="Arial" w:cs="Arial"/>
      <w:i/>
      <w:sz w:val="24"/>
    </w:rPr>
  </w:style>
  <w:style w:type="paragraph" w:styleId="Style16">
    <w:name w:val="Указатель"/>
    <w:basedOn w:val="Normal1"/>
    <w:qFormat/>
    <w:pPr/>
    <w:rPr>
      <w:rFonts w:ascii="Arial" w:hAnsi="Arial" w:cs="Arial"/>
    </w:rPr>
  </w:style>
  <w:style w:type="paragraph" w:styleId="U1072u1075u1086u1083u1086u1074u1086u1082">
    <w:name w:val="?\u1072 ?\u1075 ?\u1086 ?\u1083 ?\u1086 ?\u1074 ?\u1086 ?\u1082 ?"/>
    <w:basedOn w:val="Normal1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U1082u1072u1079u1072u1090u1077u1083u1100">
    <w:name w:val="?\u1082 ?\u1072 ?\u1079 ?\u1072 ?\u1090 ?\u1077 ?\u1083 ?\u1100 ?"/>
    <w:basedOn w:val="Normal1"/>
    <w:qFormat/>
    <w:pPr/>
    <w:rPr>
      <w:rFonts w:ascii="Arial" w:hAnsi="Arial" w:cs="Arial"/>
    </w:rPr>
  </w:style>
  <w:style w:type="paragraph" w:styleId="ArrowheadList">
    <w:name w:val="Arrowhead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Contents 1"/>
    <w:basedOn w:val="Normal1"/>
    <w:qFormat/>
    <w:pPr>
      <w:ind w:left="720" w:hanging="432"/>
    </w:pPr>
    <w:rPr/>
  </w:style>
  <w:style w:type="paragraph" w:styleId="Contents2">
    <w:name w:val="Contents 2"/>
    <w:basedOn w:val="Normal1"/>
    <w:qFormat/>
    <w:pPr>
      <w:ind w:left="1440" w:hanging="432"/>
    </w:pPr>
    <w:rPr/>
  </w:style>
  <w:style w:type="paragraph" w:styleId="Contents3">
    <w:name w:val="Contents 3"/>
    <w:basedOn w:val="Normal1"/>
    <w:qFormat/>
    <w:pPr>
      <w:ind w:left="2160" w:hanging="432"/>
    </w:pPr>
    <w:rPr/>
  </w:style>
  <w:style w:type="paragraph" w:styleId="Contents4">
    <w:name w:val="Contents 4"/>
    <w:basedOn w:val="Normal1"/>
    <w:qFormat/>
    <w:pPr>
      <w:ind w:left="2880" w:hanging="432"/>
    </w:pPr>
    <w:rPr/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Nimbus Sans" w:hAnsi="Nimbus Sans" w:cs="Nimbus Sans"/>
      <w:b/>
      <w:sz w:val="32"/>
    </w:rPr>
  </w:style>
  <w:style w:type="paragraph" w:styleId="DashedList">
    <w:name w:val="Dashed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Endnote">
    <w:name w:val="Endnote"/>
    <w:qFormat/>
    <w:pPr>
      <w:widowControl/>
      <w:suppressAutoHyphens w:val="true"/>
      <w:bidi w:val="0"/>
      <w:spacing w:before="0" w:after="0"/>
      <w:ind w:left="288" w:hanging="288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Style17">
    <w:name w:val="Endnote Text"/>
    <w:basedOn w:val="Normal"/>
    <w:pPr/>
    <w:rPr/>
  </w:style>
  <w:style w:type="paragraph" w:styleId="Footnote">
    <w:name w:val="Footnote"/>
    <w:qFormat/>
    <w:pPr>
      <w:widowControl/>
      <w:suppressAutoHyphens w:val="true"/>
      <w:bidi w:val="0"/>
      <w:spacing w:before="0" w:after="0"/>
      <w:ind w:left="288" w:hanging="288"/>
      <w:jc w:val="left"/>
    </w:pPr>
    <w:rPr>
      <w:rFonts w:ascii="Times New Roman" w:hAnsi="Times New Roman" w:eastAsia="Source Han Sans CN" w:cs="Times New Roman"/>
      <w:color w:val="auto"/>
      <w:kern w:val="0"/>
      <w:sz w:val="20"/>
      <w:szCs w:val="20"/>
      <w:lang w:val="ru-RU" w:eastAsia="zh-CN" w:bidi="hi-IN"/>
    </w:rPr>
  </w:style>
  <w:style w:type="paragraph" w:styleId="Style18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160"/>
      <w:ind w:left="720" w:hanging="0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LowerCaseList">
    <w:name w:val="Lower Case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LowerRomanList">
    <w:name w:val="Lower Roman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NoList">
    <w:name w:val="No Lis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NumberedHeading1">
    <w:name w:val="Numbered Heading 1"/>
    <w:basedOn w:val="1"/>
    <w:qFormat/>
    <w:pPr>
      <w:ind w:hanging="0"/>
    </w:pPr>
    <w:rPr/>
  </w:style>
  <w:style w:type="paragraph" w:styleId="NumberedHeading2">
    <w:name w:val="Numbered Heading 2"/>
    <w:basedOn w:val="2"/>
    <w:qFormat/>
    <w:pPr>
      <w:ind w:hanging="0"/>
    </w:pPr>
    <w:rPr/>
  </w:style>
  <w:style w:type="paragraph" w:styleId="NumberedHeading3">
    <w:name w:val="Numbered Heading 3"/>
    <w:basedOn w:val="3"/>
    <w:qFormat/>
    <w:pPr>
      <w:ind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PlainText">
    <w:name w:val="Plain Tex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Source Han Sans CN" w:cs="Courier New"/>
      <w:color w:val="auto"/>
      <w:kern w:val="0"/>
      <w:sz w:val="22"/>
      <w:szCs w:val="20"/>
      <w:lang w:val="ru-RU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/>
  </w:style>
  <w:style w:type="paragraph" w:styleId="TickList">
    <w:name w:val="Tick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spacing w:before="0" w:after="0"/>
      <w:ind w:left="720" w:hanging="432"/>
      <w:jc w:val="left"/>
    </w:pPr>
    <w:rPr>
      <w:rFonts w:ascii="Times New Roman" w:hAnsi="Times New Roman" w:eastAsia="Source Han Sans CN" w:cs="Times New Roman"/>
      <w:color w:val="auto"/>
      <w:kern w:val="0"/>
      <w:sz w:val="22"/>
      <w:szCs w:val="20"/>
      <w:lang w:val="ru-RU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Source Han Sans CN" w:cs="Times New Roman"/>
      <w:color w:val="000000"/>
      <w:kern w:val="0"/>
      <w:sz w:val="22"/>
      <w:szCs w:val="20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LibreOffice/7.0.4.2$Windows_X86_64 LibreOffice_project/dcf040e67528d9187c66b2379df5ea4407429775</Application>
  <AppVersion>15.0000</AppVersion>
  <Pages>1</Pages>
  <Words>141</Words>
  <Characters>1030</Characters>
  <CharactersWithSpaces>1109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2021-11-04T11:59:42Z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