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7"/>
      </w:tblGrid>
      <w:tr>
        <w:trPr>
          <w:trHeight w:val="3402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16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Директору </w:t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ООО «Водоканал Крымск»</w:t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А.В. Кудряшеву</w:t>
            </w:r>
          </w:p>
        </w:tc>
      </w:tr>
      <w:tr>
        <w:trPr>
          <w:trHeight w:val="189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SimSun"/>
                <w:color w:val="000000"/>
                <w:sz w:val="24"/>
                <w:szCs w:val="24"/>
                <w:shd w:fill="auto" w:val="clear"/>
                <w:lang w:eastAsia="zh-CN" w:bidi="ar-TN"/>
              </w:rPr>
            </w:pPr>
            <w:r>
              <w:rPr>
                <w:rFonts w:eastAsia="SimSun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zh-CN" w:bidi="ar-TN"/>
              </w:rPr>
              <w:t>Запрос о предоставлении сведений</w:t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34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Уважаемый Александр Васильевич!</w:t>
            </w:r>
          </w:p>
        </w:tc>
      </w:tr>
      <w:tr>
        <w:trPr>
          <w:trHeight w:val="377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709"/>
        <w:jc w:val="both"/>
        <w:outlineLvl w:val="0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В соответствии с пунктом 9 статьи 48 Градостроительного кодекса Российской Федерации,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>абзацем 2 пункта 5 «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Правил определения и предоставления технических условий подключения объекта капитального строительства к сетям инженерно-технического обеспечения и Правил подключения объекта капитального строительства к сетям инженерно-технического обеспечения», утвержденных Постановлением Правительства Российской Федерации от 13 февраля 2006 г. № 83 </w:t>
      </w:r>
      <w:r>
        <w:rPr>
          <w:rFonts w:eastAsia="SimSun" w:ascii="Times New Roman" w:hAnsi="Times New Roman"/>
          <w:color w:val="000000"/>
          <w:sz w:val="28"/>
          <w:szCs w:val="28"/>
          <w:shd w:fill="auto" w:val="clear"/>
          <w:lang w:eastAsia="zh-CN"/>
        </w:rPr>
        <w:t xml:space="preserve">администрация муниципального образования Крымский район </w:t>
      </w: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просит Вас предоставить информацию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о технических условиях подключения (технологического присоединения) объектов капитального строительства, о размере платы за подключение (технологическое присоединение) к сетям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холодного</w:t>
      </w:r>
      <w:r>
        <w:rPr>
          <w:rFonts w:eastAsia="BatangChe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 водоснабжения и водоотведения, предусматривающую:</w:t>
      </w:r>
    </w:p>
    <w:p>
      <w:pPr>
        <w:pStyle w:val="Standard"/>
        <w:widowControl w:val="false"/>
        <w:numPr>
          <w:ilvl w:val="0"/>
          <w:numId w:val="0"/>
        </w:numPr>
        <w:spacing w:before="0" w:after="0"/>
        <w:ind w:left="0" w:firstLine="851"/>
        <w:jc w:val="both"/>
        <w:outlineLvl w:val="0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п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редельную свободную мощность существующих сетей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максимальную нагрузку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сроки подключения объекта капитального строительства к сетям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холодного водоснабжения и водоотведения;</w:t>
      </w:r>
    </w:p>
    <w:p>
      <w:pPr>
        <w:pStyle w:val="Standard"/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срок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и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действия технических условий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;</w:t>
      </w:r>
    </w:p>
    <w:p>
      <w:pPr>
        <w:pStyle w:val="Standard"/>
        <w:tabs>
          <w:tab w:val="clear" w:pos="708"/>
          <w:tab w:val="left" w:pos="993" w:leader="none"/>
        </w:tabs>
        <w:spacing w:before="0" w:after="0"/>
        <w:ind w:firstLine="851"/>
        <w:jc w:val="both"/>
        <w:rPr>
          <w:sz w:val="28"/>
          <w:szCs w:val="28"/>
        </w:rPr>
      </w:pPr>
      <w:r>
        <w:rPr>
          <w:rFonts w:eastAsia="BatangChe" w:ascii="Times New Roman" w:hAnsi="Times New Roman"/>
          <w:b/>
          <w:color w:val="000000"/>
          <w:sz w:val="28"/>
          <w:szCs w:val="28"/>
          <w:shd w:fill="auto" w:val="clear"/>
          <w:lang w:bidi="ar-TN"/>
        </w:rPr>
        <w:t>- 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>плат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>у</w:t>
      </w:r>
      <w:r>
        <w:rPr>
          <w:rFonts w:eastAsia="BatangChe" w:ascii="Times New Roman" w:hAnsi="Times New Roman"/>
          <w:bCs/>
          <w:color w:val="000000"/>
          <w:sz w:val="28"/>
          <w:szCs w:val="28"/>
          <w:shd w:fill="auto" w:val="clear"/>
          <w:lang w:val="es-MX" w:bidi="ar-TN"/>
        </w:rPr>
        <w:t xml:space="preserve"> за подключение (технологическое присоединение)</w:t>
      </w:r>
      <w:r>
        <w:rPr>
          <w:rFonts w:ascii="Times New Roman" w:hAnsi="Times New Roman"/>
          <w:bCs/>
          <w:color w:val="000000"/>
          <w:sz w:val="28"/>
          <w:szCs w:val="28"/>
          <w:shd w:fill="auto" w:val="clear"/>
          <w:lang w:bidi="ar-TN"/>
        </w:rPr>
        <w:t xml:space="preserve"> объектов капитального строительства.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b/>
          <w:b/>
          <w:color w:val="auto"/>
          <w:sz w:val="28"/>
          <w:szCs w:val="28"/>
          <w:shd w:fill="auto" w:val="clear"/>
          <w:lang w:bidi="ar-TN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  <w:lang w:bidi="ar-TN"/>
        </w:rPr>
      </w:r>
    </w:p>
    <w:p>
      <w:pPr>
        <w:pStyle w:val="Standard"/>
        <w:spacing w:before="0" w:after="0"/>
        <w:ind w:firstLine="708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Приложение: Сведения о земельном участке на 2 л. в 1 экз.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Заместитель главы муниципального</w:t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С.Д. Казанжи</w:t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С.А. Гаман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auto" w:val="clear"/>
        </w:rPr>
        <w:t>8(86131)46095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Приложение к запросу</w:t>
      </w:r>
    </w:p>
    <w:p>
      <w:pPr>
        <w:pStyle w:val="Standard"/>
        <w:tabs>
          <w:tab w:val="clear" w:pos="708"/>
          <w:tab w:val="left" w:pos="8595" w:leader="none"/>
        </w:tabs>
        <w:spacing w:before="0" w:after="0"/>
        <w:jc w:val="right"/>
        <w:rPr/>
      </w:pPr>
      <w:r>
        <w:rPr>
          <w:rFonts w:ascii="Times New Roman" w:hAnsi="Times New Roman"/>
          <w:b/>
          <w:color w:val="000000"/>
          <w:sz w:val="24"/>
          <w:szCs w:val="28"/>
          <w:shd w:fill="auto" w:val="clear"/>
        </w:rPr>
        <w:t>от «___» ______ 2021 г.</w:t>
      </w:r>
    </w:p>
    <w:p>
      <w:pPr>
        <w:pStyle w:val="Standard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andard"/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Для предоставления запрашиваемой информации сообщаем следующие сведения: </w:t>
      </w:r>
    </w:p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59"/>
        <w:gridCol w:w="5895"/>
      </w:tblGrid>
      <w:tr>
        <w:trPr>
          <w:trHeight w:val="84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Сведения о земельном участке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C9211E"/>
                <w:sz w:val="22"/>
                <w:szCs w:val="22"/>
                <w:shd w:fill="auto" w:val="clear"/>
                <w:lang w:val="en-US" w:eastAsia="en-US" w:bidi="ar-SA"/>
              </w:rPr>
              <w:t>area&amp;&amp;place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area&amp;&amp;addr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, в границах кадастрового квартала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area&amp;&amp;kn11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area&amp;&amp;kn12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area&amp;&amp;kn13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 xml:space="preserve"> (КН ближайшего з/у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area&amp;&amp;kn21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area&amp;&amp;kn22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area&amp;&amp;kn23</w:t>
            </w:r>
            <w:r>
              <w:rPr>
                <w:rFonts w:eastAsia="Calibri" w:cs="Times New Roman" w:ascii="Times New Roman" w:hAnsi="Times New Roman"/>
                <w:color w:val="000000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: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area&amp;&amp;kn24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)</w:t>
            </w:r>
          </w:p>
        </w:tc>
      </w:tr>
      <w:tr>
        <w:trPr>
          <w:trHeight w:val="84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Полное наименование заявителя</w:t>
            </w:r>
          </w:p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Организационно - правовая форма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Администрация муниципального образования Крымский район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Публично правовое образование</w:t>
            </w:r>
          </w:p>
        </w:tc>
      </w:tr>
      <w:tr>
        <w:trPr>
          <w:trHeight w:val="84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Местонахождение и почтовый адрес заявителя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Краснодарский край, Краснодарский край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г. Крымск, ул. К. Либкнехта, д. 35</w:t>
            </w:r>
          </w:p>
        </w:tc>
      </w:tr>
      <w:tr>
        <w:trPr>
          <w:trHeight w:val="84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Контактные данные исполнителя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Тел/факс: 8 (86131) 4-60-95</w:t>
            </w:r>
          </w:p>
          <w:p>
            <w:pPr>
              <w:pStyle w:val="Standard"/>
              <w:widowControl w:val="false"/>
              <w:spacing w:before="0" w:after="0"/>
              <w:jc w:val="both"/>
              <w:rPr/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e-</w:t>
            </w:r>
            <w:hyperlink r:id="rId2">
              <w:r>
                <w:rPr>
                  <w:rFonts w:ascii="Times New Roman" w:hAnsi="Times New Roman"/>
                  <w:color w:val="000000"/>
                  <w:sz w:val="22"/>
                  <w:szCs w:val="22"/>
                  <w:shd w:fill="auto" w:val="clear"/>
                </w:rPr>
                <w:t>mail</w:t>
              </w:r>
            </w:hyperlink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/>
              </w:rPr>
              <w:t>: mku.uzr@yandex.ru</w:t>
            </w:r>
          </w:p>
        </w:tc>
      </w:tr>
      <w:tr>
        <w:trPr>
          <w:trHeight w:val="84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Планируемый срок ввода эксплуатацию ОКС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814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Планируемая величина необходимой подключаемой нагрузки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  <w:t>Информация отсутствует</w:t>
            </w:r>
          </w:p>
        </w:tc>
      </w:tr>
      <w:tr>
        <w:trPr>
          <w:trHeight w:val="625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tabs>
                <w:tab w:val="clear" w:pos="708"/>
                <w:tab w:val="left" w:pos="3067" w:leader="none"/>
              </w:tabs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разрешенном использовании земельного участка</w:t>
            </w:r>
          </w:p>
        </w:tc>
        <w:tc>
          <w:tcPr>
            <w:tcW w:w="5895" w:type="dxa"/>
            <w:tcBorders/>
            <w:shd w:color="auto" w:fill="FFFFFF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 w:eastAsia="Calibri" w:cs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area&amp;&amp;target</w:t>
            </w:r>
          </w:p>
        </w:tc>
      </w:tr>
      <w:tr>
        <w:trPr>
          <w:trHeight w:val="2185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Информация о предельных параметрах разрешенного строительства ОКС соответствующая земельному участку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Spacing"/>
              <w:widowControl w:val="false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Минимальная/максимальная площадь вновь образуемых земельных участков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>/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rules&amp;&amp;maxarea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кв. м; минимальная ширина земельных участков вдоль фронта улицы (проезда)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rules&amp;&amp;minwidth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минимальные отступы от границ земельных участков -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rules&amp;&amp;minoffset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м; максимальное количество надземных этажей зданий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rules&amp;&amp;maxfloors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(включая мансардный этаж); предельная высота здания – не более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rules&amp;&amp;maxheight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val="en-US" w:eastAsia="hi-IN" w:bidi="hi-I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м; максимальный процент застройки в границах земельного участка – </w:t>
            </w:r>
            <w:r>
              <w:rPr>
                <w:rFonts w:eastAsia="Calibri" w:cs="Times New Roman" w:ascii="Times New Roman" w:hAnsi="Times New Roman"/>
                <w:color w:val="C9211E"/>
                <w:kern w:val="2"/>
                <w:sz w:val="22"/>
                <w:szCs w:val="22"/>
                <w:shd w:fill="auto" w:val="clear"/>
                <w:lang w:val="en-US" w:eastAsia="en-US" w:bidi="ar-SA"/>
              </w:rPr>
              <w:t>rules&amp;&amp;maxdensity</w:t>
            </w: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  <w:lang w:eastAsia="hi-IN" w:bidi="hi-IN"/>
              </w:rPr>
              <w:t xml:space="preserve"> %</w:t>
            </w:r>
          </w:p>
        </w:tc>
      </w:tr>
      <w:tr>
        <w:trPr>
          <w:trHeight w:val="150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Необходимый вид ресурса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Холодная вода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iCs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iCs/>
                <w:color w:val="000000"/>
                <w:sz w:val="22"/>
                <w:szCs w:val="22"/>
                <w:shd w:fill="auto" w:val="clear"/>
              </w:rPr>
            </w:r>
          </w:p>
        </w:tc>
      </w:tr>
      <w:tr>
        <w:trPr>
          <w:trHeight w:val="318" w:hRule="atLeast"/>
        </w:trPr>
        <w:tc>
          <w:tcPr>
            <w:tcW w:w="3459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rPr>
                <w:rFonts w:ascii="Times New Roman" w:hAnsi="Times New Roman"/>
                <w:b/>
                <w:b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  <w:shd w:fill="auto" w:val="clear"/>
              </w:rPr>
              <w:t>Вид подключаемых сетей инженерно-технического обеспечения</w:t>
            </w:r>
          </w:p>
        </w:tc>
        <w:tc>
          <w:tcPr>
            <w:tcW w:w="5895" w:type="dxa"/>
            <w:tcBorders/>
            <w:shd w:color="auto" w:fill="auto" w:val="clear"/>
            <w:vAlign w:val="center"/>
          </w:tcPr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Водоснабжение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  <w:t>Водоотведение</w:t>
            </w:r>
          </w:p>
          <w:p>
            <w:pPr>
              <w:pStyle w:val="Standard"/>
              <w:widowControl w:val="false"/>
              <w:spacing w:before="0" w:after="0"/>
              <w:jc w:val="both"/>
              <w:rPr>
                <w:rFonts w:ascii="Times New Roman" w:hAnsi="Times New Roman"/>
                <w:color w:val="auto"/>
                <w:sz w:val="22"/>
                <w:szCs w:val="22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Standard"/>
        <w:spacing w:lineRule="auto" w:line="276" w:before="0" w:after="0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  <w:textAlignment w:val="baseline"/>
    </w:pPr>
    <w:rPr>
      <w:rFonts w:ascii="Calibri" w:hAnsi="Calibri" w:eastAsia="SimSun" w:cs="Tahoma"/>
      <w:color w:val="auto"/>
      <w:kern w:val="2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Pr>
      <w:rFonts w:ascii="Segoe UI" w:hAnsi="Segoe UI" w:eastAsia="Calibr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qFormat/>
    <w:rPr/>
  </w:style>
  <w:style w:type="character" w:styleId="Style16" w:customStyle="1">
    <w:name w:val="Нижний колонтитул Знак"/>
    <w:basedOn w:val="DefaultParagraphFont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Standard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26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Spacing">
    <w:name w:val="No Spacing"/>
    <w:qFormat/>
    <w:rsid w:val="00ac2f52"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clck/jsredir?from=yandex.ru%3Bsearch%2F%3Bweb%3B%3B&amp;text=&amp;etext=1319.iLMsrr0pLva-o0lnX59V9IRmniXgR3NIeuOA22gXr8M.b3dcf346bea47d9d6acdefebd6c46d6e3fdd62ba&amp;uuid=&amp;state=PEtFfuTeVD4jaxywoSUvtJXex15Wcbo_DpgvDE8uhd8fgorekNtXD-qUQx6nN_YJ&amp;data=UlNrNmk5WktYejY4cHFySjRXSWhXRFlsd0pXd2RFbkZMRHFQVzlIQldWS2g2YnJSMV84Ynp0WUdKakNXZG1saWJyWDNYTUdmLXk5eE1sNWNaVzlWLUlNYThNR0d1eXpuY3ZFMEFlSnpEVk0&amp;b64e=2&amp;sign=9e337a55a3b6add9fd996fecfae0576f&amp;keyno=0&amp;cst=AiuY0DBWFJ4EhnbxqmjDhUJn58Usnst1FnzyDFULfAI9rnmII_N8YvJDCPP1wJ_2r-XbdXH4wTchBbIuSX6Z-20tyjB9j0yoaVDriiwm6RpwKs_Pm-08BTodMj8gVHVC6fDwQzGLXA5DTEXrp87n1TG5U3BnrTQmQb5lIlz1f5AqrS-b4Xk3I1odm8--oWL4iLXzt6P5fDwehfv9MJ8jf_d-jBxPDdaCppCrZ1gQR-Zq95nPxDvHvx9WgKQJ8NMC8xpb6hnkRDBf8-6vuKzuyTHlgNI3GkllIfddujPt0wpgG3SpaicTnT4EIyfUv4p7WdNBw6PyDmo&amp;ref=orjY4mGPRjk5boDnW0uvlrrd71vZw9kpcGnuGjRaqmkDOUozHN9PITNOvC-thprA&amp;l10n=ru&amp;cts=1485951283790&amp;mc=4.35034237083022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LibreOffice/7.0.4.2$Windows_X86_64 LibreOffice_project/dcf040e67528d9187c66b2379df5ea4407429775</Application>
  <AppVersion>15.0000</AppVersion>
  <Pages>2</Pages>
  <Words>319</Words>
  <Characters>2614</Characters>
  <CharactersWithSpaces>2955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2021-10-05T11:15:00Z</dcterms:created>
  <dc:creator>User</dc:creator>
  <dc:description/>
  <dc:language>ru-RU</dc:language>
  <cp:lastModifiedBy/>
  <cp:lastPrinted>2019-09-12T15:06:00Z</cp:lastPrinted>
  <dcterms:modified xsi:type="dcterms:W3CDTF">2021-10-15T14:00:28Z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