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сложным синтетическим данным</w:t>
      </w:r>
    </w:p>
    <w:p>
      <w:r>
        <w:t>AI-система скоринга кандидатов  •  26 октября 2026 года  •  Версия pmi-1.1.0</w:t>
      </w:r>
    </w:p>
    <w:p>
      <w:r>
        <w:t>Цель — оценить ранжирование при неполном описании навыков и пересечении требований близких профессий. nDCG@10 составил 0,913; корреляция рангов ниже ориентира ПМИ 0,8. Результаты получены на синтетике и требуют проверки на реальных экспертно размеченных парах.</w:t>
      </w:r>
    </w:p>
    <w:p>
      <w:pPr>
        <w:pStyle w:val="Heading1"/>
      </w:pPr>
      <w:r>
        <w:t>Данные и методика</w:t>
      </w:r>
    </w:p>
    <w:p>
      <w:r>
        <w:t>36 вакансий-запросов и 1080 пар: по 30 кандидатов на вакансию, три генерации с seed 42, 7 и 99. Профили: Python-разработчик, Frontend-разработчик, QA-инженер, DevOps-инженер, Data Engineer и Data Scientist.</w:t>
      </w:r>
    </w:p>
    <w:p>
      <w:r>
        <w:t>В данных есть кандидаты смежных профессий, пропущенные в тексте навыки, различия стажа и упоминания технологий, изученных только на курсах. Медиана навыков профиля кандидата — 9, упомянутых навыков — 6. Эталонная релевантность вычисляется до написания текста по навыкам, критическим требованиям, роли и опыту; скорер получает только тексты.</w:t>
      </w:r>
    </w:p>
    <w:p>
      <w:pPr>
        <w:pStyle w:val="Heading1"/>
      </w:pPr>
      <w:r>
        <w:t>Результаты ранжирования</w:t>
      </w:r>
    </w:p>
    <w:p>
      <w:r>
        <w:t>Основной расчёт использует порог релевантности 0,1 из ПМИ. Дополнительно применён предусмотренный бенчмарком порог 0,65 для оценки отбора более подходящих кандидатов. Значения усреднены по вакансиям; K = 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2304"/>
        <w:gridCol w:w="2304"/>
      </w:tblGrid>
      <w:tr>
        <w:trPr>
          <w:cantSplit/>
          <w:tblHeader/>
        </w:trPr>
        <w:tc>
          <w:tcPr>
            <w:tcW w:type="dxa" w:w="54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  <w:jc w:val="left"/>
            </w:pPr>
            <w:r>
              <w:rPr>
                <w:b/>
                <w:sz w:val="21"/>
              </w:rPr>
              <w:t>Метрика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Порог 0,1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Порог 0,65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Precision@10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1,000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0,697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Recall@10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0,346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0,796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MAP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0,995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0,824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MRR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1,000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0,944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nDCG@10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0,913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0,913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Spearman с учётом связанных рангов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0,785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0,785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Spearman по формуле ПМИ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0,786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0,786</w:t>
            </w:r>
          </w:p>
        </w:tc>
      </w:tr>
    </w:tbl>
    <w:p>
      <w:pPr>
        <w:spacing w:before="120"/>
      </w:pPr>
      <w:r>
        <w:t>При пороге 0,1 положительны 1042 из 1080 пар (96,5%); при 0,65 — 319 (29,5%). Высокие Precision и MRR при низком пороге объясняются в том числе составом набора. nDCG и Spearman используют непрерывную релевантность и от смены бинарного порога не меняются.</w:t>
      </w:r>
    </w:p>
    <w:p>
      <w:pPr>
        <w:pStyle w:val="Heading1"/>
      </w:pPr>
      <w:r>
        <w:t>Сопоставление с ПМИ и ограничения</w:t>
      </w:r>
    </w:p>
    <w:p>
      <w:r>
        <w:t>При пороге 0,1 выполнены ориентиры nDCG@10 ≥ 0,9, Precision@5 и Precision@10 ≥ 0,9, Recall@10 ≥ 0,15; Precision@5 = 1,000. Spearman по буквальной формуле ПМИ = 0,78648, что ниже 0,8. На трёх генерациях стандартный Spearman находится в диапазоне 0,776–0,792.</w:t>
      </w:r>
    </w:p>
    <w:p>
      <w:r>
        <w:t>Набор сложнее контрольных шаблонов, но кандидаты всё ещё генерируются в контексте вакансии, а метки задаются правилами. Медианная длина резюме — 884 символа. Прогон не проверяет загрузку PDF, отказоустойчивость или качество извлечения навыков по категориям и не заменяет полный протокол ПМИ. Дальнейшая проверка качества требует независимой экспертной разметки реальных пар.</w:t>
      </w:r>
    </w:p>
    <w:p>
      <w:pPr>
        <w:spacing w:after="0"/>
      </w:pPr>
      <w:r>
        <w:rPr>
          <w:sz w:val="17"/>
        </w:rPr>
        <w:t>Основание расчётов: reports/audit-2026-10-26/realistic_diagnostic/ — synthetic_benchmark.json, report_metrics_extended.json и diagnostic_threshold_065.json. Исходные метрики повторно воспроизведены; код скорера и метки для отчёта не изменялись.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сложным синтетическим данным</dc:title>
  <dc:subject>Диагностическое качество ранжирования и сопоставление с ПМИ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