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PolicyOS E02 Архитектурные решения и контракты</w:t>
      </w:r>
    </w:p>
    <w:p>
      <w:pPr>
        <w:pStyle w:val="Subtitle"/>
      </w:pPr>
      <w:r>
        <w:t>Предложение Денису для рассмотрения и последующей реализации E02</w:t>
        <w:br/>
        <w:t>Версия 1 от 1 октября 2026 года</w:t>
      </w:r>
    </w:p>
    <w:p>
      <w:pPr>
        <w:pStyle w:val="Heading1"/>
      </w:pPr>
      <w:bookmarkStart w:id="1" w:name="section_0"/>
      <w:r>
        <w:t>Рекомендация</w:t>
      </w:r>
      <w:bookmarkEnd w:id="1"/>
    </w:p>
    <w:p>
      <w:pPr/>
      <w:r>
        <w:t>Рекомендую завершать E02 вокруг узкого, строго определённого целевого контура: неизменяемые доказательные артефакты, типизированное научное содержание, явные владельцы текущих разрешений и один согласованный протокол допуска защищённых действий. У каждого утверждения должны быть точные предмет, исходные данные, метод, границы применимости и потребитель. Полезный исследовательский результат разрешён и при неполной доказанности; защищённое разрешение требует собственного полного контракта.</w:t>
      </w:r>
    </w:p>
    <w:p>
      <w:pPr/>
      <w:r>
        <w:t>У PolicyOS нет пользователей. Поэтому совместимость с неподдерживаемыми интерфейсами, старыми демонстрационными схемами и одноразовыми кешами не должна определять архитектуру. Предпочтительны один целевой контракт, согласованный переход внутренних потребителей и воспроизводимая пересборка производных данных. Однако отсутствие пользователей не устанавливает автоматически отсутствие выпущенных доказательств, действующих гарантий или уже просмотренной в поиске валидационной выборки. Эти три вещи сохраняют смысл независимо от пользовательской базы.</w:t>
      </w:r>
    </w:p>
    <w:p>
      <w:pPr/>
      <w:r>
        <w:t>Практический порядок состоит из двух независимых решений:</w:t>
      </w:r>
    </w:p>
    <w:p>
      <w:pPr>
        <w:ind w:left="331" w:hanging="331"/>
      </w:pPr>
      <w:r>
        <w:t xml:space="preserve">1. </w:t>
      </w:r>
      <w:r>
        <w:rPr>
          <w:b/>
        </w:rPr>
        <w:t>Что реализовать и проверить в E02.</w:t>
      </w:r>
      <w:r>
        <w:t xml:space="preserve"> Разработать полный узкий protected-контур, описанный ниже, включая риск до инференциального использования, атомарный допуск публикации, повторный допуск применения, отмену, восстановление и отрицательные проверки. Candidate-only результат не заменяет требуемую protected-проверку и не сокращает существующие обязательства E02.</w:t>
      </w:r>
    </w:p>
    <w:p>
      <w:pPr>
        <w:ind w:left="331" w:hanging="331"/>
        <w:wordWrap w:val="0"/>
      </w:pPr>
      <w:r>
        <w:t xml:space="preserve">2. </w:t>
      </w:r>
      <w:r>
        <w:rPr>
          <w:b/>
        </w:rPr>
        <w:t>Что первым разрешить в эксплуатации.</w:t>
      </w:r>
      <w:r>
        <w:t xml:space="preserve"> Пока не выбраны реальные выпускающие стороны, гарантия, допустимая свежесть и конкретный защищённый потребитель, использовать профиль </w:t>
      </w:r>
      <w:r>
        <w:rPr>
          <w:rFonts w:ascii="DejaVu Sans Mono" w:hAnsi="DejaVu Sans Mono"/>
          <w:sz w:val="19"/>
        </w:rPr>
        <w:t>candidate_history_only</w:t>
      </w:r>
      <w:r>
        <w:t xml:space="preserve">. Запрос защищённой операции получает </w:t>
      </w:r>
      <w:r>
        <w:rPr>
          <w:rFonts w:ascii="DejaVu Sans Mono" w:hAnsi="DejaVu Sans Mono"/>
          <w:sz w:val="19"/>
        </w:rPr>
        <w:t>authority_profile_unsupported</w:t>
      </w:r>
      <w:r>
        <w:t>. Механизм protected-допуска можно разработать и проверить на синтетических владельцах, но такие проверки не назначают реального издателя и не включают production authority.</w:t>
      </w:r>
    </w:p>
    <w:p>
      <w:pPr/>
      <w:r>
        <w:t xml:space="preserve">Для выбранного </w:t>
      </w:r>
      <w:r>
        <w:rPr>
          <w:b/>
        </w:rPr>
        <w:t>strict local protected</w:t>
      </w:r>
      <w:r>
        <w:t xml:space="preserve"> профиля рекомендую один физический транзакционный домен, который упорядочивает все локальные изменения, способные запретить допуск. Core, Control и N11 сохраняют отдельные смысловые API. В этот домен входят только необходимые текущие разрешения, запреты, fencing revisions, риск и события допуска. Это не предложение перенести все состояние PolicyOS в одну базу и не требование общей платформы для исследовательских вычислений.</w:t>
      </w:r>
    </w:p>
    <w:p>
      <w:pPr>
        <w:keepLines/>
      </w:pPr>
      <w:r>
        <w:t>Документ предлагает решения; он не принимает principal rulings, не назначает институциональных владельцев, не меняет Debt Register и не подтверждает эксплуатацию или успешное прохождение тестов. Все acceptance specifications ниже предназначены для исполнителя E02. Машиночитаемый реестр различает обязательные смысловые зависимости, условия конкретного claim/profile и справочные связи; тематическое сходство не создаёт новый blocking prerequisite. Новые результаты тестов здесь не заявлены.</w:t>
      </w:r>
    </w:p>
    <w:p>
      <w:pPr>
        <w:wordWrap w:val="0"/>
      </w:pPr>
      <w:r>
        <w:t xml:space="preserve">Идентификаторы </w:t>
      </w:r>
      <w:r>
        <w:rPr>
          <w:rFonts w:ascii="DejaVu Sans Mono" w:hAnsi="DejaVu Sans Mono"/>
          <w:sz w:val="19"/>
        </w:rPr>
        <w:t>E02-ARCH-01</w:t>
      </w:r>
      <w:r>
        <w:t>–</w:t>
      </w:r>
      <w:r>
        <w:rPr>
          <w:rFonts w:ascii="DejaVu Sans Mono" w:hAnsi="DejaVu Sans Mono"/>
          <w:sz w:val="19"/>
        </w:rPr>
        <w:t>E02-ARCH-44</w:t>
      </w:r>
      <w:r>
        <w:t xml:space="preserve"> служат навигацией только по этому предложению. Это не новые принятые ADR, task IDs или изменения статуса исходных R/B/LA finding records.</w:t>
      </w:r>
    </w:p>
    <w:p>
      <w:pPr>
        <w:pStyle w:val="Heading1"/>
      </w:pPr>
      <w:bookmarkStart w:id="2" w:name="navigation"/>
      <w:r>
        <w:t>Навигация</w:t>
      </w:r>
      <w:bookmarkEnd w:id="2"/>
    </w:p>
    <w:p>
      <w:pPr>
        <w:spacing w:after="280"/>
      </w:pPr>
      <w:r>
        <w:t>Разделы открываются по ссылкам. Подразделы и идентификаторы E02-ARCH доступны в области навигации Word.</w:t>
      </w:r>
    </w:p>
    <w:p>
      <w:pPr>
        <w:pStyle w:val="Navigation"/>
      </w:pPr>
      <w:hyperlink w:anchor="section_0">
        <w:r>
          <w:rPr>
            <w:color w:val="24465E"/>
            <w:u w:val="single"/>
          </w:rPr>
          <w:t xml:space="preserve">Рекомендация</w:t>
        </w:r>
      </w:hyperlink>
    </w:p>
    <w:p>
      <w:pPr>
        <w:pStyle w:val="Navigation"/>
      </w:pPr>
      <w:hyperlink w:anchor="section_1">
        <w:r>
          <w:rPr>
            <w:color w:val="24465E"/>
            <w:u w:val="single"/>
          </w:rPr>
          <w:t xml:space="preserve">1 Что уже решено и что остаётся открытым</w:t>
        </w:r>
      </w:hyperlink>
    </w:p>
    <w:p>
      <w:pPr>
        <w:pStyle w:val="Navigation"/>
      </w:pPr>
      <w:hyperlink w:anchor="section_2">
        <w:r>
          <w:rPr>
            <w:color w:val="24465E"/>
            <w:u w:val="single"/>
          </w:rPr>
          <w:t xml:space="preserve">2 Общая модель и поддерживаемые профили</w:t>
        </w:r>
      </w:hyperlink>
    </w:p>
    <w:p>
      <w:pPr>
        <w:pStyle w:val="Navigation"/>
      </w:pPr>
      <w:hyperlink w:anchor="section_3">
        <w:r>
          <w:rPr>
            <w:color w:val="24465E"/>
            <w:u w:val="single"/>
          </w:rPr>
          <w:t xml:space="preserve">3 История доступ и текущая действительность</w:t>
        </w:r>
      </w:hyperlink>
    </w:p>
    <w:p>
      <w:pPr>
        <w:pStyle w:val="Navigation"/>
      </w:pPr>
      <w:hyperlink w:anchor="section_4">
        <w:r>
          <w:rPr>
            <w:color w:val="24465E"/>
            <w:u w:val="single"/>
          </w:rPr>
          <w:t xml:space="preserve">4 Риск публикация и применение</w:t>
        </w:r>
      </w:hyperlink>
    </w:p>
    <w:p>
      <w:pPr>
        <w:pStyle w:val="Navigation"/>
      </w:pPr>
      <w:hyperlink w:anchor="section_5">
        <w:r>
          <w:rPr>
            <w:color w:val="24465E"/>
            <w:u w:val="single"/>
          </w:rPr>
          <w:t xml:space="preserve">5 Worker scope control rows и полнота</w:t>
        </w:r>
      </w:hyperlink>
    </w:p>
    <w:p>
      <w:pPr>
        <w:pStyle w:val="Navigation"/>
      </w:pPr>
      <w:hyperlink w:anchor="section_6">
        <w:r>
          <w:rPr>
            <w:color w:val="24465E"/>
            <w:u w:val="single"/>
          </w:rPr>
          <w:t xml:space="preserve">6 Научные величины и доказательства</w:t>
        </w:r>
      </w:hyperlink>
    </w:p>
    <w:p>
      <w:pPr>
        <w:pStyle w:val="Navigation"/>
      </w:pPr>
      <w:hyperlink w:anchor="section_7">
        <w:r>
          <w:rPr>
            <w:color w:val="24465E"/>
            <w:u w:val="single"/>
          </w:rPr>
          <w:t xml:space="preserve">7 Данные действие и пересборка научного basis</w:t>
        </w:r>
      </w:hyperlink>
    </w:p>
    <w:p>
      <w:pPr>
        <w:pStyle w:val="Navigation"/>
      </w:pPr>
      <w:hyperlink w:anchor="section_8">
        <w:r>
          <w:rPr>
            <w:color w:val="24465E"/>
            <w:u w:val="single"/>
          </w:rPr>
          <w:t xml:space="preserve">8 Search evaluation и научное сравнение</w:t>
        </w:r>
      </w:hyperlink>
    </w:p>
    <w:p>
      <w:pPr>
        <w:pStyle w:val="Navigation"/>
      </w:pPr>
      <w:hyperlink w:anchor="section_9">
        <w:r>
          <w:rPr>
            <w:color w:val="24465E"/>
            <w:u w:val="single"/>
          </w:rPr>
          <w:t xml:space="preserve">9 Публичная поверхность и точные acceptance identities</w:t>
        </w:r>
      </w:hyperlink>
    </w:p>
    <w:p>
      <w:pPr>
        <w:pStyle w:val="Navigation"/>
      </w:pPr>
      <w:hyperlink w:anchor="section_10">
        <w:r>
          <w:rPr>
            <w:color w:val="24465E"/>
            <w:u w:val="single"/>
          </w:rPr>
          <w:t xml:space="preserve">10 Решения которые действительно остаются за пользователем</w:t>
        </w:r>
      </w:hyperlink>
    </w:p>
    <w:p>
      <w:pPr>
        <w:pStyle w:val="Navigation"/>
      </w:pPr>
      <w:hyperlink w:anchor="section_11">
        <w:r>
          <w:rPr>
            <w:color w:val="24465E"/>
            <w:u w:val="single"/>
          </w:rPr>
          <w:t xml:space="preserve">11 Порядок реализации и однократного перехода</w:t>
        </w:r>
      </w:hyperlink>
    </w:p>
    <w:p>
      <w:pPr>
        <w:pStyle w:val="Navigation"/>
      </w:pPr>
      <w:hyperlink w:anchor="section_12">
        <w:r>
          <w:rPr>
            <w:color w:val="24465E"/>
            <w:u w:val="single"/>
          </w:rPr>
          <w:t xml:space="preserve">12 Acceptance specifications для исполнителя E02</w:t>
        </w:r>
      </w:hyperlink>
    </w:p>
    <w:p>
      <w:pPr>
        <w:pStyle w:val="Navigation"/>
      </w:pPr>
      <w:hyperlink w:anchor="section_13">
        <w:r>
          <w:rPr>
            <w:color w:val="24465E"/>
            <w:u w:val="single"/>
          </w:rPr>
          <w:t xml:space="preserve">13 Полнота покрытия исходной очереди</w:t>
        </w:r>
      </w:hyperlink>
    </w:p>
    <w:p>
      <w:pPr>
        <w:pStyle w:val="Navigation"/>
      </w:pPr>
      <w:hyperlink w:anchor="section_14">
        <w:r>
          <w:rPr>
            <w:color w:val="24465E"/>
            <w:u w:val="single"/>
          </w:rPr>
          <w:t xml:space="preserve">14 Граница источников и версия</w:t>
        </w:r>
      </w:hyperlink>
    </w:p>
    <w:p>
      <w:pPr>
        <w:pStyle w:val="Navigation"/>
      </w:pPr>
      <w:hyperlink w:anchor="section_15">
        <w:r>
          <w:rPr>
            <w:color w:val="24465E"/>
            <w:u w:val="single"/>
          </w:rPr>
          <w:t xml:space="preserve">Заключение</w:t>
        </w:r>
      </w:hyperlink>
    </w:p>
    <w:p>
      <w:pPr>
        <w:pStyle w:val="Heading1"/>
        <w:pageBreakBefore/>
      </w:pPr>
      <w:bookmarkStart w:id="3" w:name="section_1"/>
      <w:r>
        <w:t>1 Что уже решено и что остаётся открытым</w:t>
      </w:r>
      <w:bookmarkEnd w:id="3"/>
    </w:p>
    <w:p>
      <w:pPr>
        <w:pStyle w:val="Heading2"/>
      </w:pPr>
      <w:r>
        <w:t>1.1 Существующие решения сохраняются</w:t>
      </w:r>
    </w:p>
    <w:p>
      <w:pPr>
        <w:wordWrap w:val="0"/>
      </w:pPr>
      <w:r>
        <w:t xml:space="preserve">По закреплённому governing срезу </w:t>
      </w:r>
      <w:r>
        <w:rPr>
          <w:rFonts w:ascii="DejaVu Sans Mono" w:hAnsi="DejaVu Sans Mono"/>
          <w:sz w:val="19"/>
        </w:rPr>
        <w:t>codex/e02-r2@0d2bad005fad98b4b0a9f6a4b7ac590b8445e603</w:t>
      </w:r>
      <w:r>
        <w:t xml:space="preserve"> приняты:</w:t>
      </w:r>
    </w:p>
    <w:p>
      <w:pPr>
        <w:pStyle w:val="ListBullet"/>
      </w:pPr>
      <w:r>
        <w:t>R1 Option A и controlled candidate lane N4→N5</w:t>
      </w:r>
    </w:p>
    <w:p>
      <w:pPr>
        <w:pStyle w:val="ListBullet"/>
      </w:pPr>
      <w:r>
        <w:t>R5 protected-mode EvalSafety fail-closed</w:t>
      </w:r>
    </w:p>
    <w:p>
      <w:pPr>
        <w:pStyle w:val="ListBullet"/>
      </w:pPr>
      <w:r>
        <w:t>R11 universal-v3 blocked-run N9 exclusion</w:t>
      </w:r>
    </w:p>
    <w:p>
      <w:pPr>
        <w:pStyle w:val="ListBullet"/>
      </w:pPr>
      <w:r>
        <w:t>R9 temporary refusal для served V2 production-approval issuance и operational currentness во всех признанных состояниях owner index</w:t>
      </w:r>
    </w:p>
    <w:p>
      <w:pPr/>
      <w:r>
        <w:t>Ни одно предложение ниже не отменяет эти решения. В частности, V3 не становится включённым от наличия схемы, V2 не возвращается через fallback, а candidate-only эксплуатация не превращается в замену protected EvalSafety.</w:t>
      </w:r>
    </w:p>
    <w:p>
      <w:pPr>
        <w:wordWrap w:val="0"/>
      </w:pPr>
      <w:r>
        <w:t xml:space="preserve">R1 V3 selector получил ограниченный engineering design GO внутри выбранного candidate lane. Из selector допускается исключить только четыре server-injected execution IDs в </w:t>
      </w:r>
      <w:r>
        <w:rPr>
          <w:rFonts w:ascii="DejaVu Sans Mono" w:hAnsi="DejaVu Sans Mono"/>
          <w:sz w:val="19"/>
        </w:rPr>
        <w:t>nl_provenance.source_context</w:t>
      </w:r>
      <w:r>
        <w:t xml:space="preserve">: tenant, cell, job, run. Полный </w:t>
      </w:r>
      <w:r>
        <w:rPr>
          <w:rFonts w:ascii="DejaVu Sans Mono" w:hAnsi="DejaVu Sans Mono"/>
          <w:sz w:val="19"/>
        </w:rPr>
        <w:t>DesignProblem</w:t>
      </w:r>
      <w:r>
        <w:t xml:space="preserve"> и custody исполнения остаются execution-bound. Это не разрешение обеднить problem identity или объявить выполненной исходную проверку другим тестом.</w:t>
      </w:r>
    </w:p>
    <w:p>
      <w:pPr>
        <w:pStyle w:val="Heading2"/>
      </w:pPr>
      <w:r>
        <w:t>1.2 Четыре разных вида незавершённости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19"/>
        <w:gridCol w:w="3326"/>
        <w:gridCol w:w="4133"/>
      </w:tblGrid>
      <w:tr>
        <w:trPr>
          <w:cantSplit/>
          <w:tblHeader/>
        </w:trPr>
        <w:tc>
          <w:tcPr>
            <w:tcW w:type="dxa" w:w="2419"/>
            <w:vAlign w:val="center"/>
            <w:tcMar>
              <w:top w:w="95" w:type="dxa"/>
              <w:bottom w:w="95" w:type="dxa"/>
              <w:left w:w="100" w:type="dxa"/>
              <w:right w:w="100" w:type="dxa"/>
            </w:tcMar>
            <w:shd w:fill="E5EDF1"/>
          </w:tcPr>
          <w:p>
            <w:pPr>
              <w:pStyle w:val="TableBody"/>
              <w:keepNext/>
            </w:pPr>
            <w:r>
              <w:rPr>
                <w:b/>
                <w:color w:val="000000"/>
              </w:rPr>
              <w:t>Вид</w:t>
            </w:r>
          </w:p>
        </w:tc>
        <w:tc>
          <w:tcPr>
            <w:tcW w:type="dxa" w:w="3326"/>
            <w:vAlign w:val="center"/>
            <w:tcMar>
              <w:top w:w="95" w:type="dxa"/>
              <w:bottom w:w="95" w:type="dxa"/>
              <w:left w:w="100" w:type="dxa"/>
              <w:right w:w="100" w:type="dxa"/>
            </w:tcMar>
            <w:shd w:fill="E5EDF1"/>
          </w:tcPr>
          <w:p>
            <w:pPr>
              <w:pStyle w:val="TableBody"/>
              <w:keepNext/>
            </w:pPr>
            <w:r>
              <w:rPr>
                <w:b/>
                <w:color w:val="000000"/>
              </w:rPr>
              <w:t>Что требуется</w:t>
            </w:r>
          </w:p>
        </w:tc>
        <w:tc>
          <w:tcPr>
            <w:tcW w:type="dxa" w:w="4133"/>
            <w:vAlign w:val="center"/>
            <w:tcMar>
              <w:top w:w="95" w:type="dxa"/>
              <w:bottom w:w="95" w:type="dxa"/>
              <w:left w:w="100" w:type="dxa"/>
              <w:right w:w="100" w:type="dxa"/>
            </w:tcMar>
            <w:shd w:fill="E5EDF1"/>
          </w:tcPr>
          <w:p>
            <w:pPr>
              <w:pStyle w:val="TableBody"/>
              <w:keepNext/>
            </w:pPr>
            <w:r>
              <w:rPr>
                <w:b/>
                <w:color w:val="000000"/>
              </w:rPr>
              <w:t>Пример</w:t>
            </w:r>
          </w:p>
        </w:tc>
      </w:tr>
      <w:tr>
        <w:trPr>
          <w:cantSplit/>
        </w:trPr>
        <w:tc>
          <w:tcPr>
            <w:tcW w:type="dxa" w:w="2419"/>
            <w:vAlign w:val="center"/>
            <w:tcMar>
              <w:top w:w="95" w:type="dxa"/>
              <w:bottom w:w="95" w:type="dxa"/>
              <w:left w:w="100" w:type="dxa"/>
              <w:right w:w="100" w:type="dxa"/>
            </w:tcMar>
            <w:shd w:fill="FFFFFF"/>
          </w:tcPr>
          <w:p>
            <w:pPr>
              <w:pStyle w:val="TableBody"/>
            </w:pPr>
            <w:r>
              <w:t>Архитектурное решение</w:t>
            </w:r>
          </w:p>
        </w:tc>
        <w:tc>
          <w:tcPr>
            <w:tcW w:type="dxa" w:w="3326"/>
            <w:vAlign w:val="center"/>
            <w:tcMar>
              <w:top w:w="95" w:type="dxa"/>
              <w:bottom w:w="95" w:type="dxa"/>
              <w:left w:w="100" w:type="dxa"/>
              <w:right w:w="100" w:type="dxa"/>
            </w:tcMar>
            <w:shd w:fill="FFFFFF"/>
          </w:tcPr>
          <w:p>
            <w:pPr>
              <w:pStyle w:val="TableBody"/>
            </w:pPr>
            <w:r>
              <w:t>Выбрать смысл и границы контракта</w:t>
            </w:r>
          </w:p>
        </w:tc>
        <w:tc>
          <w:tcPr>
            <w:tcW w:type="dxa" w:w="4133"/>
            <w:vAlign w:val="center"/>
            <w:tcMar>
              <w:top w:w="95" w:type="dxa"/>
              <w:bottom w:w="95" w:type="dxa"/>
              <w:left w:w="100" w:type="dxa"/>
              <w:right w:w="100" w:type="dxa"/>
            </w:tcMar>
            <w:shd w:fill="FFFFFF"/>
          </w:tcPr>
          <w:p>
            <w:pPr>
              <w:pStyle w:val="TableBody"/>
            </w:pPr>
            <w:r>
              <w:t>Что означает выбранный view, когда возникает риск, какой момент допуска упорядочивает отмену</w:t>
            </w:r>
          </w:p>
        </w:tc>
      </w:tr>
      <w:tr>
        <w:trPr>
          <w:cantSplit/>
        </w:trPr>
        <w:tc>
          <w:tcPr>
            <w:tcW w:type="dxa" w:w="2419"/>
            <w:vAlign w:val="center"/>
            <w:tcMar>
              <w:top w:w="95" w:type="dxa"/>
              <w:bottom w:w="95" w:type="dxa"/>
              <w:left w:w="100" w:type="dxa"/>
              <w:right w:w="100" w:type="dxa"/>
            </w:tcMar>
            <w:shd w:fill="F4F6F7"/>
          </w:tcPr>
          <w:p>
            <w:pPr>
              <w:pStyle w:val="TableBody"/>
            </w:pPr>
            <w:r>
              <w:t>Нормативное решение</w:t>
            </w:r>
          </w:p>
        </w:tc>
        <w:tc>
          <w:tcPr>
            <w:tcW w:type="dxa" w:w="3326"/>
            <w:vAlign w:val="center"/>
            <w:tcMar>
              <w:top w:w="95" w:type="dxa"/>
              <w:bottom w:w="95" w:type="dxa"/>
              <w:left w:w="100" w:type="dxa"/>
              <w:right w:w="100" w:type="dxa"/>
            </w:tcMar>
            <w:shd w:fill="F4F6F7"/>
          </w:tcPr>
          <w:p>
            <w:pPr>
              <w:pStyle w:val="TableBody"/>
            </w:pPr>
            <w:r>
              <w:t>Выбрать допустимую гарантию, ценности или полномочие</w:t>
            </w:r>
          </w:p>
        </w:tc>
        <w:tc>
          <w:tcPr>
            <w:tcW w:type="dxa" w:w="4133"/>
            <w:vAlign w:val="center"/>
            <w:tcMar>
              <w:top w:w="95" w:type="dxa"/>
              <w:bottom w:w="95" w:type="dxa"/>
              <w:left w:w="100" w:type="dxa"/>
              <w:right w:w="100" w:type="dxa"/>
            </w:tcMar>
            <w:shd w:fill="F4F6F7"/>
          </w:tcPr>
          <w:p>
            <w:pPr>
              <w:pStyle w:val="TableBody"/>
            </w:pPr>
            <w:r>
              <w:t>Bad event, допустимый риск, вес благосостояния, реальный issuer</w:t>
            </w:r>
          </w:p>
        </w:tc>
      </w:tr>
      <w:tr>
        <w:trPr>
          <w:cantSplit/>
        </w:trPr>
        <w:tc>
          <w:tcPr>
            <w:tcW w:type="dxa" w:w="2419"/>
            <w:vAlign w:val="center"/>
            <w:tcMar>
              <w:top w:w="95" w:type="dxa"/>
              <w:bottom w:w="95" w:type="dxa"/>
              <w:left w:w="100" w:type="dxa"/>
              <w:right w:w="100" w:type="dxa"/>
            </w:tcMar>
            <w:shd w:fill="FFFFFF"/>
          </w:tcPr>
          <w:p>
            <w:pPr>
              <w:pStyle w:val="TableBody"/>
            </w:pPr>
            <w:r>
              <w:t>Недостающая реализация</w:t>
            </w:r>
          </w:p>
        </w:tc>
        <w:tc>
          <w:tcPr>
            <w:tcW w:type="dxa" w:w="3326"/>
            <w:vAlign w:val="center"/>
            <w:tcMar>
              <w:top w:w="95" w:type="dxa"/>
              <w:bottom w:w="95" w:type="dxa"/>
              <w:left w:w="100" w:type="dxa"/>
              <w:right w:w="100" w:type="dxa"/>
            </w:tcMar>
            <w:shd w:fill="FFFFFF"/>
          </w:tcPr>
          <w:p>
            <w:pPr>
              <w:pStyle w:val="TableBody"/>
            </w:pPr>
            <w:r>
              <w:t>Дописать точно определённый путь</w:t>
            </w:r>
          </w:p>
        </w:tc>
        <w:tc>
          <w:tcPr>
            <w:tcW w:type="dxa" w:w="4133"/>
            <w:vAlign w:val="center"/>
            <w:tcMar>
              <w:top w:w="95" w:type="dxa"/>
              <w:bottom w:w="95" w:type="dxa"/>
              <w:left w:w="100" w:type="dxa"/>
              <w:right w:w="100" w:type="dxa"/>
            </w:tcMar>
            <w:shd w:fill="FFFFFF"/>
          </w:tcPr>
          <w:p>
            <w:pPr>
              <w:pStyle w:val="TableBody"/>
            </w:pPr>
            <w:r>
              <w:t>Протянуть selected view до потребителя, вернуть pagination certificate</w:t>
            </w:r>
          </w:p>
        </w:tc>
      </w:tr>
      <w:tr>
        <w:trPr>
          <w:cantSplit/>
        </w:trPr>
        <w:tc>
          <w:tcPr>
            <w:tcW w:type="dxa" w:w="2419"/>
            <w:vAlign w:val="center"/>
            <w:tcMar>
              <w:top w:w="95" w:type="dxa"/>
              <w:bottom w:w="95" w:type="dxa"/>
              <w:left w:w="100" w:type="dxa"/>
              <w:right w:w="100" w:type="dxa"/>
            </w:tcMar>
            <w:shd w:fill="F4F6F7"/>
          </w:tcPr>
          <w:p>
            <w:pPr>
              <w:pStyle w:val="TableBody"/>
            </w:pPr>
            <w:r>
              <w:t>Недостающие доказательства</w:t>
            </w:r>
          </w:p>
        </w:tc>
        <w:tc>
          <w:tcPr>
            <w:tcW w:type="dxa" w:w="3326"/>
            <w:vAlign w:val="center"/>
            <w:tcMar>
              <w:top w:w="95" w:type="dxa"/>
              <w:bottom w:w="95" w:type="dxa"/>
              <w:left w:w="100" w:type="dxa"/>
              <w:right w:w="100" w:type="dxa"/>
            </w:tcMar>
            <w:shd w:fill="F4F6F7"/>
          </w:tcPr>
          <w:p>
            <w:pPr>
              <w:pStyle w:val="TableBody"/>
            </w:pPr>
            <w:r>
              <w:t>Получить конкретное свидетельство</w:t>
            </w:r>
          </w:p>
        </w:tc>
        <w:tc>
          <w:tcPr>
            <w:tcW w:type="dxa" w:w="4133"/>
            <w:vAlign w:val="center"/>
            <w:tcMar>
              <w:top w:w="95" w:type="dxa"/>
              <w:bottom w:w="95" w:type="dxa"/>
              <w:left w:w="100" w:type="dxa"/>
              <w:right w:w="100" w:type="dxa"/>
            </w:tcMar>
            <w:shd w:fill="F4F6F7"/>
          </w:tcPr>
          <w:p>
            <w:pPr>
              <w:pStyle w:val="TableBody"/>
            </w:pPr>
            <w:r>
              <w:t>Raw receipt, полный census поддерживаемых publishers, real source vintage, loaded-code closure</w:t>
            </w:r>
          </w:p>
        </w:tc>
      </w:tr>
    </w:tbl>
    <w:p>
      <w:pPr>
        <w:spacing w:after="0" w:before="0" w:line="80" w:lineRule="exact"/>
      </w:pPr>
      <w:r>
        <w:rPr>
          <w:sz w:val="8"/>
        </w:rPr>
      </w:r>
    </w:p>
    <w:p>
      <w:pPr/>
      <w:r>
        <w:t>Реализация не заменяет принятие principal draft. Принятие формулировки не заменяет evidence. Локальный PASS не доказывает более широкий backend, multi-host, real-source или production профиль.</w:t>
      </w:r>
    </w:p>
    <w:p>
      <w:pPr>
        <w:pStyle w:val="Heading1"/>
      </w:pPr>
      <w:bookmarkStart w:id="4" w:name="section_2"/>
      <w:r>
        <w:t>2 Общая модель и поддерживаемые профили</w:t>
      </w:r>
      <w:bookmarkEnd w:id="4"/>
    </w:p>
    <w:p>
      <w:pPr>
        <w:pStyle w:val="Heading2"/>
      </w:pPr>
      <w:bookmarkStart w:id="5" w:name="E02_ARCH_01"/>
      <w:r>
        <w:t>2.1 E02-ARCH-01 Узкая модель исполнения</w:t>
      </w:r>
      <w:bookmarkEnd w:id="5"/>
    </w:p>
    <w:p>
      <w:pPr/>
      <w:r>
        <w:t>Устанавливаются три явных профиля.</w:t>
      </w:r>
    </w:p>
    <w:p>
      <w:pPr/>
      <w:r>
        <w:rPr>
          <w:b/>
        </w:rPr>
        <w:t>Candidate и history.</w:t>
      </w:r>
      <w:r>
        <w:t xml:space="preserve"> Поддерживают вычисления, частичные результаты, точные исторические записи и честные ограничения. Разрешены отдельные существующие хранилища владельцев, disposable single-writer состояние и локальные admitted механизмы публикации. Они не выдают production approval и не заявляют общую действующую гарантию N11. Этот профиль не отменяет обычные authorization, tenant isolation, valid source access, job custody и явно требуемые DataTrust/EvalSafety условия. Его упрощение касается отсутствия конкретного strict protected issuance/current-use обещания. Отмена обычной работы действует в пределах честно заявленного существующего owner/lease контракта; отсутствие общего admission domain не даёт права игнорировать действующий запрет.</w:t>
      </w:r>
    </w:p>
    <w:p>
      <w:pPr/>
      <w:r>
        <w:rPr>
          <w:b/>
        </w:rPr>
        <w:t>Strict local protected.</w:t>
      </w:r>
      <w:r>
        <w:t xml:space="preserve"> Один хост, явно принятые filesystem и failure assumptions, один физический транзакционный домен для участвующих разрешений, единственный авторитетный результат каждой операции. Дорогая подготовка, вычисления, загрузка blob и подпись вынесены из короткой сериализованной транзакции. Все отмены и изменения, влияющие на protected admission, проходят тот же домен. Первый профиль не поддерживает продолжение защищённого семейства после переноса в другую cell.</w:t>
      </w:r>
    </w:p>
    <w:p>
      <w:pPr/>
      <w:r>
        <w:rPr>
          <w:b/>
        </w:rPr>
        <w:t>Operated multi-host.</w:t>
      </w:r>
      <w:r>
        <w:t xml:space="preserve"> Пока не заявляется. Если появится конкретный потребитель, отдельно выбираются транзакционная система, порядок revocation/fencing, custody, disaster recovery и реальная модель отказов. Локальные WAL, flock и совпадение CAS root этого не доказывают.</w:t>
      </w:r>
    </w:p>
    <w:p>
      <w:pPr/>
      <w:r>
        <w:t>Смысловая схема проста:</w:t>
      </w:r>
    </w:p>
    <w:p>
      <w:pPr>
        <w:pStyle w:val="ListBullet"/>
      </w:pPr>
      <w:r>
        <w:t>научные владельцы создают неизменяемые basis, планы, результаты и доказательства</w:t>
      </w:r>
    </w:p>
    <w:p>
      <w:pPr>
        <w:pStyle w:val="ListBullet"/>
      </w:pPr>
      <w:r>
        <w:t>Core хранит точные bytes и selected views, выдаёт scoped доступ и владеет публикацией артефакта</w:t>
      </w:r>
    </w:p>
    <w:p>
      <w:pPr>
        <w:pStyle w:val="ListBullet"/>
      </w:pPr>
      <w:r>
        <w:t>Control владеет текущим job, actor admission, attempt, отменой и fencing</w:t>
      </w:r>
    </w:p>
    <w:p>
      <w:pPr>
        <w:pStyle w:val="ListBullet"/>
      </w:pPr>
      <w:r>
        <w:t>N11 владеет семейством гарантии, его accounting и допустимыми переходами</w:t>
      </w:r>
    </w:p>
    <w:p>
      <w:pPr>
        <w:pStyle w:val="ListBullet"/>
      </w:pPr>
      <w:r>
        <w:t>N9 и остальные protected consumers используют результат только через допуск требуемого действия</w:t>
      </w:r>
    </w:p>
    <w:p>
      <w:pPr>
        <w:wordWrap w:val="0"/>
      </w:pPr>
      <w:r>
        <w:t xml:space="preserve">Одного </w:t>
      </w:r>
      <w:r>
        <w:rPr>
          <w:rFonts w:ascii="DejaVu Sans Mono" w:hAnsi="DejaVu Sans Mono"/>
          <w:sz w:val="19"/>
        </w:rPr>
        <w:t>success=true</w:t>
      </w:r>
      <w:r>
        <w:t xml:space="preserve"> для этих ролей недостаточно. Удобно возвращать четыре независимых оси: </w:t>
      </w:r>
      <w:r>
        <w:rPr>
          <w:rFonts w:ascii="DejaVu Sans Mono" w:hAnsi="DejaVu Sans Mono"/>
          <w:sz w:val="19"/>
        </w:rPr>
        <w:t>execution_status</w:t>
      </w:r>
      <w:r>
        <w:t xml:space="preserve">, </w:t>
      </w:r>
      <w:r>
        <w:rPr>
          <w:rFonts w:ascii="DejaVu Sans Mono" w:hAnsi="DejaVu Sans Mono"/>
          <w:sz w:val="19"/>
        </w:rPr>
        <w:t>evidence_status</w:t>
      </w:r>
      <w:r>
        <w:t xml:space="preserve">, </w:t>
      </w:r>
      <w:r>
        <w:rPr>
          <w:rFonts w:ascii="DejaVu Sans Mono" w:hAnsi="DejaVu Sans Mono"/>
          <w:sz w:val="19"/>
        </w:rPr>
        <w:t>scientific_claim_status</w:t>
      </w:r>
      <w:r>
        <w:t xml:space="preserve">, </w:t>
      </w:r>
      <w:r>
        <w:rPr>
          <w:rFonts w:ascii="DejaVu Sans Mono" w:hAnsi="DejaVu Sans Mono"/>
          <w:sz w:val="19"/>
        </w:rPr>
        <w:t>authority_status</w:t>
      </w:r>
      <w:r>
        <w:t>. Например, вычисление может закончиться, partial report быть доступным, безусловное распределение быть withheld, а защищённое применение быть unsupported.</w:t>
      </w:r>
    </w:p>
    <w:p>
      <w:pPr/>
      <w:r>
        <w:rPr>
          <w:b/>
        </w:rPr>
        <w:t>Альтернативы.</w:t>
      </w:r>
      <w:r>
        <w:t xml:space="preserve"> Сохранять candidate/history-only как первый operating profile дешевле и честнее, чем вводить фиктивные полномочия. Строгий локальный домен добавляет переделку небольшого набора authoritative writers, но устраняет реальную межвладельческую гонку. Краткосрочные неотзываемые admission leases могут оставить отдельные stores; тогда revoke действует с задержкой до срока lease. Это иной контракт, который нужно явно принять. Он не эквивалентен немедленному упорядочиванию локального запрета. Distributed commit и универсальная event platform сейчас не рекомендуются.</w:t>
      </w:r>
    </w:p>
    <w:p>
      <w:pPr>
        <w:pStyle w:val="Heading2"/>
      </w:pPr>
      <w:bookmarkStart w:id="6" w:name="E02_ARCH_02"/>
      <w:r>
        <w:t>2.2 E02-ARCH-02 Разделённые идентичности</w:t>
      </w:r>
      <w:bookmarkEnd w:id="6"/>
    </w:p>
    <w:p>
      <w:pPr/>
      <w:r>
        <w:t>В существующих owner-native типах следует различить: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646"/>
      </w:tblGrid>
      <w:tr>
        <w:trPr>
          <w:cantSplit/>
          <w:tblHeader/>
        </w:trPr>
        <w:tc>
          <w:tcPr>
            <w:tcW w:type="dxa" w:w="2232"/>
            <w:vAlign w:val="center"/>
            <w:tcMar>
              <w:top w:w="95" w:type="dxa"/>
              <w:bottom w:w="95" w:type="dxa"/>
              <w:left w:w="100" w:type="dxa"/>
              <w:right w:w="100" w:type="dxa"/>
            </w:tcMar>
            <w:shd w:fill="E5EDF1"/>
          </w:tcPr>
          <w:p>
            <w:pPr>
              <w:pStyle w:val="TableBody"/>
              <w:keepNext/>
            </w:pPr>
            <w:r>
              <w:rPr>
                <w:b/>
                <w:color w:val="000000"/>
              </w:rPr>
              <w:t>Координата</w:t>
            </w:r>
          </w:p>
        </w:tc>
        <w:tc>
          <w:tcPr>
            <w:tcW w:type="dxa" w:w="7646"/>
            <w:vAlign w:val="center"/>
            <w:tcMar>
              <w:top w:w="95" w:type="dxa"/>
              <w:bottom w:w="95" w:type="dxa"/>
              <w:left w:w="100" w:type="dxa"/>
              <w:right w:w="100" w:type="dxa"/>
            </w:tcMar>
            <w:shd w:fill="E5EDF1"/>
          </w:tcPr>
          <w:p>
            <w:pPr>
              <w:pStyle w:val="TableBody"/>
              <w:keepNext/>
            </w:pPr>
            <w:r>
              <w:rPr>
                <w:b/>
                <w:color w:val="000000"/>
              </w:rPr>
              <w:t>Смысл и минимальные поля</w:t>
            </w:r>
          </w:p>
        </w:tc>
      </w:tr>
      <w:tr>
        <w:trPr>
          <w:cantSplit/>
        </w:trPr>
        <w:tc>
          <w:tcPr>
            <w:tcW w:type="dxa" w:w="2232"/>
            <w:vAlign w:val="center"/>
            <w:tcMar>
              <w:top w:w="95" w:type="dxa"/>
              <w:bottom w:w="95" w:type="dxa"/>
              <w:left w:w="100" w:type="dxa"/>
              <w:right w:w="100" w:type="dxa"/>
            </w:tcMar>
            <w:shd w:fill="FFFFFF"/>
          </w:tcPr>
          <w:p>
            <w:pPr>
              <w:pStyle w:val="TableBody"/>
            </w:pPr>
            <w:r>
              <w:t>Blob</w:t>
            </w:r>
          </w:p>
        </w:tc>
        <w:tc>
          <w:tcPr>
            <w:tcW w:type="dxa" w:w="7646"/>
            <w:vAlign w:val="center"/>
            <w:tcMar>
              <w:top w:w="95" w:type="dxa"/>
              <w:bottom w:w="95" w:type="dxa"/>
              <w:left w:w="100" w:type="dxa"/>
              <w:right w:w="100" w:type="dxa"/>
            </w:tcMar>
            <w:shd w:fill="FFFFFF"/>
          </w:tcPr>
          <w:p>
            <w:pPr>
              <w:pStyle w:val="TableBody"/>
              <w:wordWrap w:val="0"/>
            </w:pPr>
            <w:r>
              <w:rPr>
                <w:rFonts w:ascii="DejaVu Sans Mono" w:hAnsi="DejaVu Sans Mono"/>
                <w:sz w:val="18"/>
              </w:rPr>
              <w:t>sha256(exact stored bytes)</w:t>
            </w:r>
            <w:r>
              <w:t>, размер, media type; тождество bytes</w:t>
            </w:r>
          </w:p>
        </w:tc>
      </w:tr>
      <w:tr>
        <w:trPr>
          <w:cantSplit/>
        </w:trPr>
        <w:tc>
          <w:tcPr>
            <w:tcW w:type="dxa" w:w="2232"/>
            <w:vAlign w:val="center"/>
            <w:tcMar>
              <w:top w:w="95" w:type="dxa"/>
              <w:bottom w:w="95" w:type="dxa"/>
              <w:left w:w="100" w:type="dxa"/>
              <w:right w:w="100" w:type="dxa"/>
            </w:tcMar>
            <w:shd w:fill="F4F6F7"/>
          </w:tcPr>
          <w:p>
            <w:pPr>
              <w:pStyle w:val="TableBody"/>
            </w:pPr>
            <w:r>
              <w:t>Selected view</w:t>
            </w:r>
          </w:p>
        </w:tc>
        <w:tc>
          <w:tcPr>
            <w:tcW w:type="dxa" w:w="7646"/>
            <w:vAlign w:val="center"/>
            <w:tcMar>
              <w:top w:w="95" w:type="dxa"/>
              <w:bottom w:w="95" w:type="dxa"/>
              <w:left w:w="100" w:type="dxa"/>
              <w:right w:w="100" w:type="dxa"/>
            </w:tcMar>
            <w:shd w:fill="F4F6F7"/>
          </w:tcPr>
          <w:p>
            <w:pPr>
              <w:pStyle w:val="TableBody"/>
              <w:wordWrap w:val="0"/>
            </w:pPr>
            <w:r>
              <w:rPr>
                <w:rFonts w:ascii="DejaVu Sans Mono" w:hAnsi="DejaVu Sans Mono"/>
                <w:sz w:val="18"/>
              </w:rPr>
              <w:t>artifact_id + manifest_profile_sha256</w:t>
            </w:r>
            <w:r>
              <w:t>; точная интерпретация этих bytes</w:t>
            </w:r>
          </w:p>
        </w:tc>
      </w:tr>
      <w:tr>
        <w:trPr>
          <w:cantSplit/>
        </w:trPr>
        <w:tc>
          <w:tcPr>
            <w:tcW w:type="dxa" w:w="2232"/>
            <w:vAlign w:val="center"/>
            <w:tcMar>
              <w:top w:w="95" w:type="dxa"/>
              <w:bottom w:w="95" w:type="dxa"/>
              <w:left w:w="100" w:type="dxa"/>
              <w:right w:w="100" w:type="dxa"/>
            </w:tcMar>
            <w:shd w:fill="FFFFFF"/>
          </w:tcPr>
          <w:p>
            <w:pPr>
              <w:pStyle w:val="TableBody"/>
            </w:pPr>
            <w:r>
              <w:t>Subject</w:t>
            </w:r>
          </w:p>
        </w:tc>
        <w:tc>
          <w:tcPr>
            <w:tcW w:type="dxa" w:w="7646"/>
            <w:vAlign w:val="center"/>
            <w:tcMar>
              <w:top w:w="95" w:type="dxa"/>
              <w:bottom w:w="95" w:type="dxa"/>
              <w:left w:w="100" w:type="dxa"/>
              <w:right w:w="100" w:type="dxa"/>
            </w:tcMar>
            <w:shd w:fill="FFFFFF"/>
          </w:tcPr>
          <w:p>
            <w:pPr>
              <w:pStyle w:val="TableBody"/>
              <w:wordWrap w:val="0"/>
            </w:pPr>
            <w:r>
              <w:rPr>
                <w:rFonts w:ascii="DejaVu Sans Mono" w:hAnsi="DejaVu Sans Mono"/>
                <w:sz w:val="18"/>
              </w:rPr>
              <w:t>owner_namespace + subject_id</w:t>
            </w:r>
            <w:r>
              <w:t>; устойчивый предмет работы</w:t>
            </w:r>
          </w:p>
        </w:tc>
      </w:tr>
      <w:tr>
        <w:trPr>
          <w:cantSplit/>
        </w:trPr>
        <w:tc>
          <w:tcPr>
            <w:tcW w:type="dxa" w:w="2232"/>
            <w:vAlign w:val="center"/>
            <w:tcMar>
              <w:top w:w="95" w:type="dxa"/>
              <w:bottom w:w="95" w:type="dxa"/>
              <w:left w:w="100" w:type="dxa"/>
              <w:right w:w="100" w:type="dxa"/>
            </w:tcMar>
            <w:shd w:fill="F4F6F7"/>
          </w:tcPr>
          <w:p>
            <w:pPr>
              <w:pStyle w:val="TableBody"/>
            </w:pPr>
            <w:r>
              <w:t>Scientific basis</w:t>
            </w:r>
          </w:p>
        </w:tc>
        <w:tc>
          <w:tcPr>
            <w:tcW w:type="dxa" w:w="7646"/>
            <w:vAlign w:val="center"/>
            <w:tcMar>
              <w:top w:w="95" w:type="dxa"/>
              <w:bottom w:w="95" w:type="dxa"/>
              <w:left w:w="100" w:type="dxa"/>
              <w:right w:w="100" w:type="dxa"/>
            </w:tcMar>
            <w:shd w:fill="F4F6F7"/>
          </w:tcPr>
          <w:p>
            <w:pPr>
              <w:pStyle w:val="TableBody"/>
            </w:pPr>
            <w:r>
              <w:t>типизированный ref, semantic digest, schema version, полный релевантный scientific input projection</w:t>
            </w:r>
          </w:p>
        </w:tc>
      </w:tr>
      <w:tr>
        <w:trPr>
          <w:cantSplit/>
        </w:trPr>
        <w:tc>
          <w:tcPr>
            <w:tcW w:type="dxa" w:w="2232"/>
            <w:vAlign w:val="center"/>
            <w:tcMar>
              <w:top w:w="95" w:type="dxa"/>
              <w:bottom w:w="95" w:type="dxa"/>
              <w:left w:w="100" w:type="dxa"/>
              <w:right w:w="100" w:type="dxa"/>
            </w:tcMar>
            <w:shd w:fill="FFFFFF"/>
          </w:tcPr>
          <w:p>
            <w:pPr>
              <w:pStyle w:val="TableBody"/>
            </w:pPr>
            <w:r>
              <w:t>Occurrence</w:t>
            </w:r>
          </w:p>
        </w:tc>
        <w:tc>
          <w:tcPr>
            <w:tcW w:type="dxa" w:w="7646"/>
            <w:vAlign w:val="center"/>
            <w:tcMar>
              <w:top w:w="95" w:type="dxa"/>
              <w:bottom w:w="95" w:type="dxa"/>
              <w:left w:w="100" w:type="dxa"/>
              <w:right w:w="100" w:type="dxa"/>
            </w:tcMar>
            <w:shd w:fill="FFFFFF"/>
          </w:tcPr>
          <w:p>
            <w:pPr>
              <w:pStyle w:val="TableBody"/>
            </w:pPr>
            <w:r>
              <w:t>subject, basis, candidate, run/cycle, parent occurrence; отдельный эпизод вычисления</w:t>
            </w:r>
          </w:p>
        </w:tc>
      </w:tr>
      <w:tr>
        <w:trPr>
          <w:cantSplit/>
        </w:trPr>
        <w:tc>
          <w:tcPr>
            <w:tcW w:type="dxa" w:w="2232"/>
            <w:vAlign w:val="center"/>
            <w:tcMar>
              <w:top w:w="95" w:type="dxa"/>
              <w:bottom w:w="95" w:type="dxa"/>
              <w:left w:w="100" w:type="dxa"/>
              <w:right w:w="100" w:type="dxa"/>
            </w:tcMar>
            <w:shd w:fill="F4F6F7"/>
          </w:tcPr>
          <w:p>
            <w:pPr>
              <w:pStyle w:val="TableBody"/>
            </w:pPr>
            <w:r>
              <w:t>Execution binding</w:t>
            </w:r>
          </w:p>
        </w:tc>
        <w:tc>
          <w:tcPr>
            <w:tcW w:type="dxa" w:w="7646"/>
            <w:vAlign w:val="center"/>
            <w:tcMar>
              <w:top w:w="95" w:type="dxa"/>
              <w:bottom w:w="95" w:type="dxa"/>
              <w:left w:w="100" w:type="dxa"/>
              <w:right w:w="100" w:type="dxa"/>
            </w:tcMar>
            <w:shd w:fill="F4F6F7"/>
          </w:tcPr>
          <w:p>
            <w:pPr>
              <w:pStyle w:val="TableBody"/>
            </w:pPr>
            <w:r>
              <w:t>deployment, tenant, cell, job, attempt, actor; custody данного исполнения</w:t>
            </w:r>
          </w:p>
        </w:tc>
      </w:tr>
      <w:tr>
        <w:trPr>
          <w:cantSplit/>
        </w:trPr>
        <w:tc>
          <w:tcPr>
            <w:tcW w:type="dxa" w:w="2232"/>
            <w:vAlign w:val="center"/>
            <w:tcMar>
              <w:top w:w="95" w:type="dxa"/>
              <w:bottom w:w="95" w:type="dxa"/>
              <w:left w:w="100" w:type="dxa"/>
              <w:right w:w="100" w:type="dxa"/>
            </w:tcMar>
            <w:shd w:fill="FFFFFF"/>
          </w:tcPr>
          <w:p>
            <w:pPr>
              <w:pStyle w:val="TableBody"/>
            </w:pPr>
            <w:r>
              <w:t>Guarantee family</w:t>
            </w:r>
          </w:p>
        </w:tc>
        <w:tc>
          <w:tcPr>
            <w:tcW w:type="dxa" w:w="7646"/>
            <w:vAlign w:val="center"/>
            <w:tcMar>
              <w:top w:w="95" w:type="dxa"/>
              <w:bottom w:w="95" w:type="dxa"/>
              <w:left w:w="100" w:type="dxa"/>
              <w:right w:w="100" w:type="dxa"/>
            </w:tcMar>
            <w:shd w:fill="FFFFFF"/>
          </w:tcPr>
          <w:p>
            <w:pPr>
              <w:pStyle w:val="TableBody"/>
              <w:wordWrap w:val="0"/>
            </w:pPr>
            <w:r>
              <w:t xml:space="preserve">family ID и </w:t>
            </w:r>
            <w:r>
              <w:rPr>
                <w:rFonts w:ascii="DejaVu Sans Mono" w:hAnsi="DejaVu Sans Mono"/>
                <w:sz w:val="18"/>
              </w:rPr>
              <w:t>GuaranteeSpec</w:t>
            </w:r>
            <w:r>
              <w:t>; область связанного риска</w:t>
            </w:r>
          </w:p>
        </w:tc>
      </w:tr>
    </w:tbl>
    <w:p>
      <w:pPr>
        <w:spacing w:after="0" w:before="0" w:line="80" w:lineRule="exact"/>
      </w:pPr>
      <w:r>
        <w:rPr>
          <w:sz w:val="8"/>
        </w:rPr>
      </w:r>
    </w:p>
    <w:p>
      <w:pPr/>
      <w:r>
        <w:t>Ни одна координата не заменяет остальные. Новая попытка worker не обязана менять научный basis. Смена значимого источника, модели, temporal mapping или метода обязана создать новый basis. Идентичные bytes не разрешают доступ другого tenant. Новое имя subject или cell не создаёт новый риск-бюджет продолжающейся гарантии.</w:t>
      </w:r>
    </w:p>
    <w:p>
      <w:pPr/>
      <w:r>
        <w:t>Новый typed ref должен нести selected view. Bare ID допустим лишь для явно byte-only операции или ограниченного исторического default-профиля. Текущий protected reader не угадывает view по первому manifest. Blob дедуплицируется по content ID; views, signatures, parsed cache и семантические результаты учитывают выбранный профиль.</w:t>
      </w:r>
    </w:p>
    <w:p>
      <w:pPr>
        <w:wordWrap w:val="0"/>
      </w:pPr>
      <w:r>
        <w:t xml:space="preserve">Сериализация и scientific canonicalization версионируются отдельно. Нельзя молча преобразовать </w:t>
      </w:r>
      <w:r>
        <w:rPr>
          <w:rFonts w:ascii="DejaVu Sans Mono" w:hAnsi="DejaVu Sans Mono"/>
          <w:sz w:val="19"/>
        </w:rPr>
        <w:t>Decimal</w:t>
      </w:r>
      <w:r>
        <w:t xml:space="preserve"> в binary float или заменить существующий serializer только ради стандарта канонического JSON. RFC 8785 ограничивает конкретную JSON-модель, но не определяет научную эквивалентность [В1].</w:t>
      </w:r>
    </w:p>
    <w:p>
      <w:pPr>
        <w:wordWrap w:val="0"/>
      </w:pPr>
      <w:r>
        <w:rPr>
          <w:b/>
        </w:rPr>
        <w:t>Отказы:</w:t>
      </w:r>
      <w:r>
        <w:t xml:space="preserve"> </w:t>
      </w:r>
      <w:r>
        <w:rPr>
          <w:rFonts w:ascii="DejaVu Sans Mono" w:hAnsi="DejaVu Sans Mono"/>
          <w:sz w:val="19"/>
        </w:rPr>
        <w:t>missing_view</w:t>
      </w:r>
      <w:r>
        <w:t xml:space="preserve">, </w:t>
      </w:r>
      <w:r>
        <w:rPr>
          <w:rFonts w:ascii="DejaVu Sans Mono" w:hAnsi="DejaVu Sans Mono"/>
          <w:sz w:val="19"/>
        </w:rPr>
        <w:t>ambiguous_legacy_view</w:t>
      </w:r>
      <w:r>
        <w:t xml:space="preserve">, </w:t>
      </w:r>
      <w:r>
        <w:rPr>
          <w:rFonts w:ascii="DejaVu Sans Mono" w:hAnsi="DejaVu Sans Mono"/>
          <w:sz w:val="19"/>
        </w:rPr>
        <w:t>schema_mismatch</w:t>
      </w:r>
      <w:r>
        <w:t xml:space="preserve">, </w:t>
      </w:r>
      <w:r>
        <w:rPr>
          <w:rFonts w:ascii="DejaVu Sans Mono" w:hAnsi="DejaVu Sans Mono"/>
          <w:sz w:val="19"/>
        </w:rPr>
        <w:t>integrity_mismatch</w:t>
      </w:r>
      <w:r>
        <w:t xml:space="preserve">, </w:t>
      </w:r>
      <w:r>
        <w:rPr>
          <w:rFonts w:ascii="DejaVu Sans Mono" w:hAnsi="DejaVu Sans Mono"/>
          <w:sz w:val="19"/>
        </w:rPr>
        <w:t>unsupported_reference_version</w:t>
      </w:r>
      <w:r>
        <w:t xml:space="preserve">, </w:t>
      </w:r>
      <w:r>
        <w:rPr>
          <w:rFonts w:ascii="DejaVu Sans Mono" w:hAnsi="DejaVu Sans Mono"/>
          <w:sz w:val="19"/>
        </w:rPr>
        <w:t>unauthorized</w:t>
      </w:r>
      <w:r>
        <w:t>. Неверный view не трактуется как отсутствие необязательных данных.</w:t>
      </w:r>
    </w:p>
    <w:p>
      <w:pPr>
        <w:wordWrap w:val="0"/>
      </w:pPr>
      <w:r>
        <w:t xml:space="preserve">R11 repeated-candidate predicate имеет уже заданный engineering target: </w:t>
      </w:r>
      <w:r>
        <w:rPr>
          <w:rFonts w:ascii="DejaVu Sans Mono" w:hAnsi="DejaVu Sans Mono"/>
          <w:sz w:val="19"/>
        </w:rPr>
        <w:t>GenerationSourceRepository.load(ref, run_id)</w:t>
      </w:r>
      <w:r>
        <w:t xml:space="preserve"> → полный </w:t>
      </w:r>
      <w:r>
        <w:rPr>
          <w:rFonts w:ascii="DejaVu Sans Mono" w:hAnsi="DejaVu Sans Mono"/>
          <w:sz w:val="19"/>
        </w:rPr>
        <w:t>GenerationSourceHandoff</w:t>
      </w:r>
      <w:r>
        <w:t xml:space="preserve"> → producer-input recomputation validator → selection через </w:t>
      </w:r>
      <w:r>
        <w:rPr>
          <w:rFonts w:ascii="DejaVu Sans Mono" w:hAnsi="DejaVu Sans Mono"/>
          <w:sz w:val="19"/>
        </w:rPr>
        <w:t>identities()</w:t>
      </w:r>
      <w:r>
        <w:t xml:space="preserve"> → canonical bytes двух recomputed candidate projections. Supplied </w:t>
      </w:r>
      <w:r>
        <w:rPr>
          <w:rFonts w:ascii="DejaVu Sans Mono" w:hAnsi="DejaVu Sans Mono"/>
          <w:sz w:val="19"/>
        </w:rPr>
        <w:t>sha256:</w:t>
      </w:r>
      <w:r>
        <w:t xml:space="preserve"> либо hash candidate ID не доказывают repetition. Missing, foreign или unresolved handoff дают </w:t>
      </w:r>
      <w:r>
        <w:rPr>
          <w:rFonts w:ascii="DejaVu Sans Mono" w:hAnsi="DejaVu Sans Mono"/>
          <w:sz w:val="19"/>
        </w:rPr>
        <w:t>candidate_identity_not_established</w:t>
      </w:r>
      <w:r>
        <w:t xml:space="preserve">, а не установленное повторение. Owner — </w:t>
      </w:r>
      <w:r>
        <w:rPr>
          <w:rFonts w:ascii="DejaVu Sans Mono" w:hAnsi="DejaVu Sans Mono"/>
          <w:sz w:val="19"/>
        </w:rPr>
        <w:t>runtime/quality/generation_source.py</w:t>
      </w:r>
      <w:r>
        <w:t xml:space="preserve">; consumers — </w:t>
      </w:r>
      <w:r>
        <w:rPr>
          <w:rFonts w:ascii="DejaVu Sans Mono" w:hAnsi="DejaVu Sans Mono"/>
          <w:sz w:val="19"/>
        </w:rPr>
        <w:t>_fake_cycle_reason</w:t>
      </w:r>
      <w:r>
        <w:t xml:space="preserve"> и N6 loop. Это реализация и evidence уже определённого механизма, не новый principal выбор общей научной equivalence relation между byte-distinct программами. Mutation меняет owner bytes, сохраняя claimed hash/reason markers, и обязана разрушить ложное equality свидетельство. Принятая universal-v3 blocked→no N9 policy при этом остаётся самостоятельным действующим правилом.</w:t>
      </w:r>
    </w:p>
    <w:p>
      <w:pPr>
        <w:pStyle w:val="Heading1"/>
      </w:pPr>
      <w:bookmarkStart w:id="7" w:name="section_3"/>
      <w:r>
        <w:t>3 История доступ и текущая действительность</w:t>
      </w:r>
      <w:bookmarkEnd w:id="7"/>
    </w:p>
    <w:p>
      <w:pPr>
        <w:pStyle w:val="Heading2"/>
      </w:pPr>
      <w:bookmarkStart w:id="8" w:name="E02_ARCH_03"/>
      <w:r>
        <w:t>3.1 E02-ARCH-03 Сохранять смысл истории отдельно от текущего допуска</w:t>
      </w:r>
      <w:bookmarkEnd w:id="8"/>
    </w:p>
    <w:p>
      <w:pPr>
        <w:wordWrap w:val="0"/>
      </w:pPr>
      <w:r>
        <w:t xml:space="preserve">Исторический record фиксирует </w:t>
      </w:r>
      <w:r>
        <w:rPr>
          <w:rFonts w:ascii="DejaVu Sans Mono" w:hAnsi="DejaVu Sans Mono"/>
          <w:sz w:val="19"/>
        </w:rPr>
        <w:t>record_schema</w:t>
      </w:r>
      <w:r>
        <w:t xml:space="preserve">, </w:t>
      </w:r>
      <w:r>
        <w:rPr>
          <w:rFonts w:ascii="DejaVu Sans Mono" w:hAnsi="DejaVu Sans Mono"/>
          <w:sz w:val="19"/>
        </w:rPr>
        <w:t>canonicalization_profile</w:t>
      </w:r>
      <w:r>
        <w:t xml:space="preserve">, </w:t>
      </w:r>
      <w:r>
        <w:rPr>
          <w:rFonts w:ascii="DejaVu Sans Mono" w:hAnsi="DejaVu Sans Mono"/>
          <w:sz w:val="19"/>
        </w:rPr>
        <w:t>rule_family/version</w:t>
      </w:r>
      <w:r>
        <w:t xml:space="preserve">, </w:t>
      </w:r>
      <w:r>
        <w:rPr>
          <w:rFonts w:ascii="DejaVu Sans Mono" w:hAnsi="DejaVu Sans Mono"/>
          <w:sz w:val="19"/>
        </w:rPr>
        <w:t>evaluator_release_digest</w:t>
      </w:r>
      <w:r>
        <w:t>, exact input refs, recorded result и issuance authority evidence. Его проверка возвращает отдельные verdicts:</w:t>
      </w:r>
    </w:p>
    <w:p>
      <w:pPr>
        <w:pStyle w:val="ListBullet"/>
      </w:pPr>
      <w:r>
        <w:t>byte integrity</w:t>
      </w:r>
    </w:p>
    <w:p>
      <w:pPr>
        <w:pStyle w:val="ListBullet"/>
      </w:pPr>
      <w:r>
        <w:t>signature status</w:t>
      </w:r>
    </w:p>
    <w:p>
      <w:pPr>
        <w:pStyle w:val="ListBullet"/>
        <w:wordWrap w:val="0"/>
      </w:pPr>
      <w:r>
        <w:t xml:space="preserve">historical semantics: </w:t>
      </w:r>
      <w:r>
        <w:rPr>
          <w:rFonts w:ascii="DejaVu Sans Mono" w:hAnsi="DejaVu Sans Mono"/>
          <w:sz w:val="19"/>
        </w:rPr>
        <w:t>reproduced</w:t>
      </w:r>
      <w:r>
        <w:t xml:space="preserve">, </w:t>
      </w:r>
      <w:r>
        <w:rPr>
          <w:rFonts w:ascii="DejaVu Sans Mono" w:hAnsi="DejaVu Sans Mono"/>
          <w:sz w:val="19"/>
        </w:rPr>
        <w:t>recorded_only</w:t>
      </w:r>
      <w:r>
        <w:t xml:space="preserve">, </w:t>
      </w:r>
      <w:r>
        <w:rPr>
          <w:rFonts w:ascii="DejaVu Sans Mono" w:hAnsi="DejaVu Sans Mono"/>
          <w:sz w:val="19"/>
        </w:rPr>
        <w:t>unsupported_rule</w:t>
      </w:r>
      <w:r>
        <w:t xml:space="preserve">, </w:t>
      </w:r>
      <w:r>
        <w:rPr>
          <w:rFonts w:ascii="DejaVu Sans Mono" w:hAnsi="DejaVu Sans Mono"/>
          <w:sz w:val="19"/>
        </w:rPr>
        <w:t>missing_input</w:t>
      </w:r>
      <w:r>
        <w:t xml:space="preserve">, </w:t>
      </w:r>
      <w:r>
        <w:rPr>
          <w:rFonts w:ascii="DejaVu Sans Mono" w:hAnsi="DejaVu Sans Mono"/>
          <w:sz w:val="19"/>
        </w:rPr>
        <w:t>contradiction</w:t>
      </w:r>
    </w:p>
    <w:p>
      <w:pPr>
        <w:pStyle w:val="ListBullet"/>
      </w:pPr>
      <w:r>
        <w:t>historical owner binding</w:t>
      </w:r>
    </w:p>
    <w:p>
      <w:pPr>
        <w:pStyle w:val="ListBullet"/>
        <w:wordWrap w:val="0"/>
      </w:pPr>
      <w:r>
        <w:t xml:space="preserve">currentness: </w:t>
      </w:r>
      <w:r>
        <w:rPr>
          <w:rFonts w:ascii="DejaVu Sans Mono" w:hAnsi="DejaVu Sans Mono"/>
          <w:sz w:val="19"/>
        </w:rPr>
        <w:t>current</w:t>
      </w:r>
      <w:r>
        <w:t xml:space="preserve">, </w:t>
      </w:r>
      <w:r>
        <w:rPr>
          <w:rFonts w:ascii="DejaVu Sans Mono" w:hAnsi="DejaVu Sans Mono"/>
          <w:sz w:val="19"/>
        </w:rPr>
        <w:t>stale</w:t>
      </w:r>
      <w:r>
        <w:t xml:space="preserve">, </w:t>
      </w:r>
      <w:r>
        <w:rPr>
          <w:rFonts w:ascii="DejaVu Sans Mono" w:hAnsi="DejaVu Sans Mono"/>
          <w:sz w:val="19"/>
        </w:rPr>
        <w:t>withdrawn</w:t>
      </w:r>
      <w:r>
        <w:t xml:space="preserve">, </w:t>
      </w:r>
      <w:r>
        <w:rPr>
          <w:rFonts w:ascii="DejaVu Sans Mono" w:hAnsi="DejaVu Sans Mono"/>
          <w:sz w:val="19"/>
        </w:rPr>
        <w:t>unresolved</w:t>
      </w:r>
      <w:r>
        <w:t xml:space="preserve">, </w:t>
      </w:r>
      <w:r>
        <w:rPr>
          <w:rFonts w:ascii="DejaVu Sans Mono" w:hAnsi="DejaVu Sans Mono"/>
          <w:sz w:val="19"/>
        </w:rPr>
        <w:t>not_applicable</w:t>
      </w:r>
    </w:p>
    <w:p>
      <w:pPr>
        <w:wordWrap w:val="0"/>
      </w:pPr>
      <w:r>
        <w:t xml:space="preserve">Рекомендую frozen native evaluators по rule version для действительно сохраняемой истории. Такой evaluator не читает сегодняшние clock, registry или mutable store. Если исходный evaluator либо input отсутствует, bytes и записанный результат остаются доступными как </w:t>
      </w:r>
      <w:r>
        <w:rPr>
          <w:rFonts w:ascii="DejaVu Sans Mono" w:hAnsi="DejaVu Sans Mono"/>
          <w:sz w:val="19"/>
        </w:rPr>
        <w:t>recorded_only</w:t>
      </w:r>
      <w:r>
        <w:t>; нельзя пропустить их через новый DTO и назвать прежний смысл подтверждённым.</w:t>
      </w:r>
    </w:p>
    <w:p>
      <w:pPr>
        <w:wordWrap w:val="0"/>
      </w:pPr>
      <w:r>
        <w:t xml:space="preserve">R2 outer-v1 требует именно frozen </w:t>
      </w:r>
      <w:r>
        <w:rPr>
          <w:b/>
        </w:rPr>
        <w:t>семантического evaluator</w:t>
      </w:r>
      <w:r>
        <w:t xml:space="preserve">, а не одного serializer. Сохранённые v1 bytes могут интерпретироваться иначе изменённым </w:t>
      </w:r>
      <w:r>
        <w:rPr>
          <w:rFonts w:ascii="DejaVu Sans Mono" w:hAnsi="DejaVu Sans Mono"/>
          <w:sz w:val="19"/>
        </w:rPr>
        <w:t>_project_normative_composition</w:t>
      </w:r>
      <w:r>
        <w:t xml:space="preserve">. Предпочтительный вариант — schema/rule dispatch на historical evaluator; independently admitted rule artifact является альтернативой, а </w:t>
      </w:r>
      <w:r>
        <w:rPr>
          <w:rFonts w:ascii="DejaVu Sans Mono" w:hAnsi="DejaVu Sans Mono"/>
          <w:sz w:val="19"/>
        </w:rPr>
        <w:t>semantic_history_not_established</w:t>
      </w:r>
      <w:r>
        <w:t xml:space="preserve"> — честной interim limitation. Статус bytes неизменен при любом варианте.</w:t>
      </w:r>
    </w:p>
    <w:p>
      <w:pPr>
        <w:wordWrap w:val="0"/>
      </w:pPr>
      <w:r>
        <w:t xml:space="preserve">Reissue создаёт новый артефакт с явной связью </w:t>
      </w:r>
      <w:r>
        <w:rPr>
          <w:rFonts w:ascii="DejaVu Sans Mono" w:hAnsi="DejaVu Sans Mono"/>
          <w:sz w:val="19"/>
        </w:rPr>
        <w:t>reissues</w:t>
      </w:r>
      <w:r>
        <w:t xml:space="preserve"> или </w:t>
      </w:r>
      <w:r>
        <w:rPr>
          <w:rFonts w:ascii="DejaVu Sans Mono" w:hAnsi="DejaVu Sans Mono"/>
          <w:sz w:val="19"/>
        </w:rPr>
        <w:t>supersedes</w:t>
      </w:r>
      <w:r>
        <w:t>. Withdrawal оставляет оригинал и добавляет факт отзыва. Текущая недействительность не стирает исторический факт выдачи; историческая корректность не разрешает текущее действие.</w:t>
      </w:r>
    </w:p>
    <w:p>
      <w:pPr>
        <w:wordWrap w:val="0"/>
      </w:pPr>
      <w:r>
        <w:t xml:space="preserve">Для Wave5 historical </w:t>
      </w:r>
      <w:r>
        <w:rPr>
          <w:rFonts w:ascii="DejaVu Sans Mono" w:hAnsi="DejaVu Sans Mono"/>
          <w:sz w:val="19"/>
        </w:rPr>
        <w:t>repo://</w:t>
      </w:r>
      <w:r>
        <w:t xml:space="preserve"> отдельный выбор — owner-issued append-only sidecar, связывающий manifest digest с настоящими admission commit/tree и bytes, либо immutable manifest с typed </w:t>
      </w:r>
      <w:r>
        <w:rPr>
          <w:rFonts w:ascii="DejaVu Sans Mono" w:hAnsi="DejaVu Sans Mono"/>
          <w:sz w:val="19"/>
        </w:rPr>
        <w:t>not_established</w:t>
      </w:r>
      <w:r>
        <w:t xml:space="preserve"> и predicate </w:t>
      </w:r>
      <w:r>
        <w:rPr>
          <w:rFonts w:ascii="DejaVu Sans Mono" w:hAnsi="DejaVu Sans Mono"/>
          <w:sz w:val="19"/>
        </w:rPr>
        <w:t>UNRUN</w:t>
      </w:r>
      <w:r>
        <w:t xml:space="preserve">, если его нельзя оценить. Рекомендую второй вариант сейчас; sidecar даёт путь к положительному historical verdict после получения настоящего owner evidence. Artifact owner и runtime-quality historical resolver должны закрыть </w:t>
      </w:r>
      <w:r>
        <w:rPr>
          <w:rFonts w:ascii="DejaVu Sans Mono" w:hAnsi="DejaVu Sans Mono"/>
          <w:sz w:val="19"/>
        </w:rPr>
        <w:t>producer_missing</w:t>
      </w:r>
      <w:r>
        <w:t>/</w:t>
      </w:r>
      <w:r>
        <w:rPr>
          <w:rFonts w:ascii="DejaVu Sans Mono" w:hAnsi="DejaVu Sans Mono"/>
          <w:sz w:val="19"/>
        </w:rPr>
        <w:t>bridge_missing</w:t>
      </w:r>
      <w:r>
        <w:t xml:space="preserve">. Для R14 historical W5 допустимы только authorized receipt, связывающий exact admitted commit/tree, либо </w:t>
      </w:r>
      <w:r>
        <w:rPr>
          <w:rFonts w:ascii="DejaVu Sans Mono" w:hAnsi="DejaVu Sans Mono"/>
          <w:sz w:val="19"/>
        </w:rPr>
        <w:t>not_established</w:t>
      </w:r>
      <w:r>
        <w:t>. First-added commit не доказывает admitted snapshot. Исправление сегодняшнего generated client не восстанавливает автоматически прошлую историю.</w:t>
      </w:r>
    </w:p>
    <w:p>
      <w:pPr/>
      <w:r>
        <w:rPr>
          <w:b/>
        </w:rPr>
        <w:t>Стоимость альтернатив.</w:t>
      </w:r>
      <w:r>
        <w:t xml:space="preserve"> Versioned evaluator требует поддерживать лишь фактически retained versions. Record-only history дешевле, но не предоставляет семантический replay. Постоянная совместимость со всеми старыми активными интерфейсами не нужна. Выбор можно делать по реальному retained evidence inventory, не по возрасту файла.</w:t>
      </w:r>
    </w:p>
    <w:p>
      <w:pPr>
        <w:pStyle w:val="Heading2"/>
      </w:pPr>
      <w:bookmarkStart w:id="9" w:name="E02_ARCH_04"/>
      <w:r>
        <w:t>3.2 E02-ARCH-04 Текущая действительность ограничена наблюдением</w:t>
      </w:r>
      <w:bookmarkEnd w:id="9"/>
    </w:p>
    <w:p>
      <w:pPr>
        <w:wordWrap w:val="0"/>
      </w:pPr>
      <w:r>
        <w:rPr>
          <w:rFonts w:ascii="DejaVu Sans Mono" w:hAnsi="DejaVu Sans Mono"/>
          <w:sz w:val="19"/>
        </w:rPr>
        <w:t>current</w:t>
      </w:r>
      <w:r>
        <w:t xml:space="preserve"> означает: результат соответствует текущему локально принятому состоянию и указанным наблюдениям внешних источников. Это не мгновенная глобальная истина о том, что удалённый источник, issuer или policy нигде не изменились.</w:t>
      </w:r>
    </w:p>
    <w:p>
      <w:pPr>
        <w:wordWrap w:val="0"/>
      </w:pPr>
      <w:r>
        <w:rPr>
          <w:rFonts w:ascii="DejaVu Sans Mono" w:hAnsi="DejaVu Sans Mono"/>
          <w:sz w:val="19"/>
        </w:rPr>
        <w:t>AdmissionObservation</w:t>
      </w:r>
      <w:r>
        <w:t xml:space="preserve"> включает source authority, exact snapshot/version/ref/digest, subject scope, known effective interval, </w:t>
      </w:r>
      <w:r>
        <w:rPr>
          <w:rFonts w:ascii="DejaVu Sans Mono" w:hAnsi="DejaVu Sans Mono"/>
          <w:sz w:val="19"/>
        </w:rPr>
        <w:t>observed_at</w:t>
      </w:r>
      <w:r>
        <w:t xml:space="preserve">, свидетельство получения, freshness policy, </w:t>
      </w:r>
      <w:r>
        <w:rPr>
          <w:rFonts w:ascii="DejaVu Sans Mono" w:hAnsi="DejaVu Sans Mono"/>
          <w:sz w:val="19"/>
        </w:rPr>
        <w:t>expires_at</w:t>
      </w:r>
      <w:r>
        <w:t xml:space="preserve"> либо явное immutable rule и принимающего trust owner. Публикация сохраняет refs этих наблюдений. Последующее использование проверяет их снова по требованиям своего действия.</w:t>
      </w:r>
    </w:p>
    <w:p>
      <w:pPr>
        <w:wordWrap w:val="0"/>
      </w:pPr>
      <w:r>
        <w:t xml:space="preserve">Если обязательное наблюдение устарело или недоступно, freshness-dependent claim становится </w:t>
      </w:r>
      <w:r>
        <w:rPr>
          <w:rFonts w:ascii="DejaVu Sans Mono" w:hAnsi="DejaVu Sans Mono"/>
          <w:sz w:val="19"/>
        </w:rPr>
        <w:t>unresolved</w:t>
      </w:r>
      <w:r>
        <w:t xml:space="preserve"> или withheld. Сохраняются byte verification, история и разрешённая исследовательская работа. Единого TTL для всех источников не вводится. Допустимый возраст налоговой нормы, статистического vintage, ключа подписи и текущего deployment может различаться.</w:t>
      </w:r>
    </w:p>
    <w:p>
      <w:pPr>
        <w:pStyle w:val="Heading2"/>
      </w:pPr>
      <w:bookmarkStart w:id="10" w:name="E02_ARCH_05"/>
      <w:r>
        <w:t>3.3 E02-ARCH-05 Scoped store и deployment evidence</w:t>
      </w:r>
      <w:bookmarkEnd w:id="10"/>
    </w:p>
    <w:p>
      <w:pPr>
        <w:wordWrap w:val="0"/>
      </w:pPr>
      <w:r>
        <w:t xml:space="preserve">Существующая optional signature-verifying capability уже есть. Её нужно связывать с exact admitted store, а не проверять </w:t>
      </w:r>
      <w:r>
        <w:rPr>
          <w:rFonts w:ascii="DejaVu Sans Mono" w:hAnsi="DejaVu Sans Mono"/>
          <w:sz w:val="19"/>
        </w:rPr>
        <w:t>hasattr</w:t>
      </w:r>
      <w:r>
        <w:t>, имя класса или совпадение root. Reader получает owner-issued handle с store instance, actor, tenant/cell, purpose, operation и необходимыми revision/fence/expiry. Создание DTO самим caller не выпускает capability. Raw filesystem path, root и конструктор необёрнутого backend не входят в tenant API.</w:t>
      </w:r>
    </w:p>
    <w:p>
      <w:pPr/>
      <w:r>
        <w:t>Обычный read handle имеет semantics snapshot-at-open: после revocation новые открытия запрещены, уже переданные bytes физически не отзываются. Protected effect получает собственную проверку допуска. Если недоверенный код имеет прямой filesystem доступ к backend, Python wrapper не обеспечивает изоляцию; нужны процессная или физическая границы.</w:t>
      </w:r>
    </w:p>
    <w:p>
      <w:pPr>
        <w:wordWrap w:val="0"/>
      </w:pPr>
      <w:r>
        <w:t xml:space="preserve">Проверка подписи связывает selected ref, exact blob, manifest, signature и admitted trust policy. Её результаты: </w:t>
      </w:r>
      <w:r>
        <w:rPr>
          <w:rFonts w:ascii="DejaVu Sans Mono" w:hAnsi="DejaVu Sans Mono"/>
          <w:sz w:val="19"/>
        </w:rPr>
        <w:t>valid</w:t>
      </w:r>
      <w:r>
        <w:t xml:space="preserve">, </w:t>
      </w:r>
      <w:r>
        <w:rPr>
          <w:rFonts w:ascii="DejaVu Sans Mono" w:hAnsi="DejaVu Sans Mono"/>
          <w:sz w:val="19"/>
        </w:rPr>
        <w:t>unsigned</w:t>
      </w:r>
      <w:r>
        <w:t xml:space="preserve">, </w:t>
      </w:r>
      <w:r>
        <w:rPr>
          <w:rFonts w:ascii="DejaVu Sans Mono" w:hAnsi="DejaVu Sans Mono"/>
          <w:sz w:val="19"/>
        </w:rPr>
        <w:t>invalid</w:t>
      </w:r>
      <w:r>
        <w:t xml:space="preserve">, </w:t>
      </w:r>
      <w:r>
        <w:rPr>
          <w:rFonts w:ascii="DejaVu Sans Mono" w:hAnsi="DejaVu Sans Mono"/>
          <w:sz w:val="19"/>
        </w:rPr>
        <w:t>untrusted</w:t>
      </w:r>
      <w:r>
        <w:t xml:space="preserve">, </w:t>
      </w:r>
      <w:r>
        <w:rPr>
          <w:rFonts w:ascii="DejaVu Sans Mono" w:hAnsi="DejaVu Sans Mono"/>
          <w:sz w:val="19"/>
        </w:rPr>
        <w:t>revoked</w:t>
      </w:r>
      <w:r>
        <w:t xml:space="preserve">, </w:t>
      </w:r>
      <w:r>
        <w:rPr>
          <w:rFonts w:ascii="DejaVu Sans Mono" w:hAnsi="DejaVu Sans Mono"/>
          <w:sz w:val="19"/>
        </w:rPr>
        <w:t>error</w:t>
      </w:r>
      <w:r>
        <w:t xml:space="preserve">. Ошибка verifier не превращается в </w:t>
      </w:r>
      <w:r>
        <w:rPr>
          <w:rFonts w:ascii="DejaVu Sans Mono" w:hAnsi="DejaVu Sans Mono"/>
          <w:sz w:val="19"/>
        </w:rPr>
        <w:t>None</w:t>
      </w:r>
      <w:r>
        <w:t xml:space="preserve"> и не запускает unsigned fallback. Принятый Ed25519 формат не заменяется без отдельного решения.</w:t>
      </w:r>
    </w:p>
    <w:p>
      <w:pPr/>
      <w:r>
        <w:t>Для R2/CYC-05 один canonical deployment identity должен связывать installed build digest, lock/platform scope, configuration и необходимую route/registry/dispatch closure. Source SHA и соседний неподписанный PASS JSON не доказывают loaded-code closure или независимое происхождение. SLSA полезен как структура build provenance, но сам по себе не назначает issuer и не удостоверяет смысл исполнения [В2].</w:t>
      </w:r>
    </w:p>
    <w:p>
      <w:pPr>
        <w:wordWrap w:val="0"/>
      </w:pPr>
      <w:r>
        <w:t xml:space="preserve">Рекомендуются три роли и два обычных signed receipts без нового hosted service. Build provenance producer связывает wheel/package digest, source/tree/input snapshot, build recipe/toolchain/resolver и target dependencies. Deployment/route admission owner после установки связывает тот же build receipt с independently calculated canonical installed identity, actual configuration, closed served root/dispatch/registry set и observation bounds. N6/N9 verifier сам вычисляет existing canonical deployment identity и проверяет receipts; supplied </w:t>
      </w:r>
      <w:r>
        <w:rPr>
          <w:rFonts w:ascii="DejaVu Sans Mono" w:hAnsi="DejaVu Sans Mono"/>
          <w:sz w:val="19"/>
        </w:rPr>
        <w:t>current=true</w:t>
      </w:r>
      <w:r>
        <w:t xml:space="preserve"> не доверяется. Build receipt не заменяет deployment admission. Один principal может выполнять обе первые роли, если выбранный trust model это разрешает; организационная независимость тогда не заявляется.</w:t>
      </w:r>
    </w:p>
    <w:p>
      <w:pPr/>
      <w:r>
        <w:t>Первый backend — существующий signature-verifying FileSystemCAS через реальный tenant-bound guard на одном admitted local filesystem, с built wheel, запускаемым вне source checkout, и одним explicit platform profile. Произвольные dynamic plugins/monkeypatching вне closed admitted route set нарушают этот envelope. Closure witness должен охватывать заявленный denominator; один удачный observed run не доказывает все reachable paths. Альтернатива одному объединённому deployment attestation проще по числу объектов, но связывает build и deployment revisions и расширяет доверие к одной роли. Раздельные receipts лучше соответствуют независимым изменениям этих фактов.</w:t>
      </w:r>
    </w:p>
    <w:p>
      <w:pPr>
        <w:wordWrap w:val="0"/>
      </w:pPr>
      <w:r>
        <w:t xml:space="preserve">При отсутствии admitted issuer/trust roots сохраняются candidate/history capabilities, а соответствующая installed authority остаётся </w:t>
      </w:r>
      <w:r>
        <w:rPr>
          <w:rFonts w:ascii="DejaVu Sans Mono" w:hAnsi="DejaVu Sans Mono"/>
          <w:sz w:val="19"/>
        </w:rPr>
        <w:t>UNRUN</w:t>
      </w:r>
      <w:r>
        <w:t xml:space="preserve"> или withheld. Выбор release OIDC workflow или отдельного deployment/admission institution принадлежит владельцу полномочий. Нельзя назначить issuer по названию workflow.</w:t>
      </w:r>
    </w:p>
    <w:p>
      <w:pPr>
        <w:wordWrap w:val="0"/>
      </w:pPr>
      <w:r>
        <w:rPr>
          <w:b/>
        </w:rPr>
        <w:t>Cache denial precedence.</w:t>
      </w:r>
      <w:r>
        <w:t xml:space="preserve"> Durable-owner-first admission уже существует в ограниченном guarded path. Целевой cache не имеет второй независимой mutable artifact authority: он expendable performance state. До lookup проверяются durable owner и exact selected ref; key содержит backend/store, owner scope либо explicitly public audience, artifact/view и cache encoding version. </w:t>
      </w:r>
      <w:r>
        <w:rPr>
          <w:rFonts w:ascii="DejaVu Sans Mono" w:hAnsi="DejaVu Sans Mono"/>
          <w:sz w:val="19"/>
        </w:rPr>
        <w:t>cache_miss</w:t>
      </w:r>
      <w:r>
        <w:t xml:space="preserve">, </w:t>
      </w:r>
      <w:r>
        <w:rPr>
          <w:rFonts w:ascii="DejaVu Sans Mono" w:hAnsi="DejaVu Sans Mono"/>
          <w:sz w:val="19"/>
        </w:rPr>
        <w:t>cache_corrupt</w:t>
      </w:r>
      <w:r>
        <w:t xml:space="preserve">, </w:t>
      </w:r>
      <w:r>
        <w:rPr>
          <w:rFonts w:ascii="DejaVu Sans Mono" w:hAnsi="DejaVu Sans Mono"/>
          <w:sz w:val="19"/>
        </w:rPr>
        <w:t>cache_unavailable</w:t>
      </w:r>
      <w:r>
        <w:t xml:space="preserve"> допускают authorized origin fallback. </w:t>
      </w:r>
      <w:r>
        <w:rPr>
          <w:rFonts w:ascii="DejaVu Sans Mono" w:hAnsi="DejaVu Sans Mono"/>
          <w:sz w:val="19"/>
        </w:rPr>
        <w:t>authorization_denied</w:t>
      </w:r>
      <w:r>
        <w:t xml:space="preserve"> от origin, proxy или local enforcement останавливает composite read; </w:t>
      </w:r>
      <w:r>
        <w:rPr>
          <w:rFonts w:ascii="DejaVu Sans Mono" w:hAnsi="DejaVu Sans Mono"/>
          <w:sz w:val="19"/>
        </w:rPr>
        <w:t>authority_unresolved</w:t>
      </w:r>
      <w:r>
        <w:t xml:space="preserve"> не cache miss. Даже если durable owner разрешает, local security denial нельзя превращать в miss. Альтернатива direct-origin при local denial допустима только по отдельно принятому контракту, где local policy явно регулирует исключительно cache materialization, а не доступ к артефакту. Warm hit не отменяет текущую owner authorization.</w:t>
      </w:r>
    </w:p>
    <w:p>
      <w:pPr>
        <w:wordWrap w:val="0"/>
      </w:pPr>
      <w:r>
        <w:rPr>
          <w:b/>
        </w:rPr>
        <w:t>Cloud signed evidence.</w:t>
      </w:r>
      <w:r>
        <w:t xml:space="preserve"> Для первого operating profile cloud signed-authority surface явно unsupported, пока не нужен конкретный backend/consumer. Если нужен, один bounded adapter возвращает immutable bundle: exact selected ref и blob digest/size, raw выбранный manifest и signature bytes с digest, существующую signature statement version, backend/namespace, заранее известную blob object version/generation и admitted read context. Собственные provider-assigned version/generation, digest и size bundle находятся во внешнем owner descriptor после записи; bundle не включает hash/version самого себя. Trust-policy/as-of observation остаётся отдельным текущим фактом. Parsed JSON нельзя пересериализовать и выдать за исходные signed bytes. Стабильный bundle плюс version-pinned blob устраняет предположение, что отдельно изменяемые sidecars прочитаны атомарно. ETag, key или object generation не заменяют content verification и signer authority. При смешанном tuple возвращается </w:t>
      </w:r>
      <w:r>
        <w:rPr>
          <w:rFonts w:ascii="DejaVu Sans Mono" w:hAnsi="DejaVu Sans Mono"/>
          <w:sz w:val="19"/>
        </w:rPr>
        <w:t>snapshot_conflict</w:t>
      </w:r>
      <w:r>
        <w:t xml:space="preserve"> или </w:t>
      </w:r>
      <w:r>
        <w:rPr>
          <w:rFonts w:ascii="DejaVu Sans Mono" w:hAnsi="DejaVu Sans Mono"/>
          <w:sz w:val="19"/>
        </w:rPr>
        <w:t>signed_evidence_unavailable</w:t>
      </w:r>
      <w:r>
        <w:t>, без unsigned authority-positive fallback. Fake-client test подтверждает adapter mechanics, но не deployed IAM.</w:t>
      </w:r>
    </w:p>
    <w:p>
      <w:pPr>
        <w:pStyle w:val="Heading2"/>
      </w:pPr>
      <w:bookmarkStart w:id="11" w:name="E02_ARCH_37"/>
      <w:r>
        <w:t>3.4 E02-ARCH-37 Governed public read closure trust</w:t>
      </w:r>
      <w:bookmarkEnd w:id="11"/>
    </w:p>
    <w:p>
      <w:pPr/>
      <w:r>
        <w:t>На закреплённом срезе появился отдельный R9 engineering draft: DECISION_RECORDS 4794–4802. Он ещё не принят и не объявляет формально preferred option. Существующая цепочка — publisher/mandate verification owners → CAS-owner exact read closure → HTTP/public provider/watcher. Она касается bounded anonymous verification/watch exact governed-public records; не предоставляет current-Claim grant, произвольный tenant read или V2 approval.</w:t>
      </w:r>
    </w:p>
    <w:p>
      <w:pPr/>
      <w:r>
        <w:t>Рассматриваются три настоящие альтернативы:</w:t>
      </w:r>
    </w:p>
    <w:p>
      <w:pPr>
        <w:pStyle w:val="ListBullet"/>
      </w:pPr>
      <w:r>
        <w:rPr>
          <w:b/>
        </w:rPr>
        <w:t>A Существующий CAS owner как trust root.</w:t>
      </w:r>
      <w:r>
        <w:t xml:space="preserve"> Exact closure связывает purpose, operation и selected ref; доверие опирается на реальное appointment и измеренную deployment root isolation. Меньше новых механизмов, но same-root writer/process compromise выходит за этот envelope</w:t>
      </w:r>
    </w:p>
    <w:p>
      <w:pPr>
        <w:pStyle w:val="ListBullet"/>
      </w:pPr>
      <w:r>
        <w:rPr>
          <w:b/>
        </w:rPr>
        <w:t>B Независимо authenticated grant issuer.</w:t>
      </w:r>
      <w:r>
        <w:t xml:space="preserve"> Отдельное подтверждение происхождения closure, но нужны protected key custody, rotation, recovery и переход исторических records. Не вводить отдельную key infrastructure без требуемой независимости</w:t>
      </w:r>
    </w:p>
    <w:p>
      <w:pPr>
        <w:pStyle w:val="ListBullet"/>
      </w:pPr>
      <w:r>
        <w:rPr>
          <w:b/>
        </w:rPr>
        <w:t>C Bounded refusal.</w:t>
      </w:r>
      <w:r>
        <w:t xml:space="preserve"> Сохранить ограниченную anonymous verification и не читать private evidence без установленного основания A или B; public-read capability gap честно остаётся</w:t>
      </w:r>
    </w:p>
    <w:p>
      <w:pPr/>
      <w:r>
        <w:t xml:space="preserve">Рекомендую </w:t>
      </w:r>
      <w:r>
        <w:rPr>
          <w:b/>
        </w:rPr>
        <w:t>A как узкий целевой вариант, если существующие appointment и root-isolation evidence действительно его допускают; иначе C до их установления</w:t>
      </w:r>
      <w:r>
        <w:t>. Это наша recommendation для рассмотрения, а не уже выбранная production trust model. B нужен, если требуемая граница доверия специально включает недоверенных writers, от которых A не защищает. Private fixture и корректный local digest не доказывают production isolation.</w:t>
      </w:r>
    </w:p>
    <w:p>
      <w:pPr>
        <w:wordWrap w:val="0"/>
      </w:pPr>
      <w:r>
        <w:rPr>
          <w:rFonts w:ascii="DejaVu Sans Mono" w:hAnsi="DejaVu Sans Mono"/>
          <w:sz w:val="19"/>
        </w:rPr>
        <w:t>ArtifactOwnershipIndex.signature</w:t>
      </w:r>
      <w:r>
        <w:t xml:space="preserve"> в этом источнике является unkeyed </w:t>
      </w:r>
      <w:r>
        <w:rPr>
          <w:rFonts w:ascii="DejaVu Sans Mono" w:hAnsi="DejaVu Sans Mono"/>
          <w:sz w:val="19"/>
        </w:rPr>
        <w:t>sha256-local-integrity</w:t>
      </w:r>
      <w:r>
        <w:t>. Writer с доступом к index может изменить его и пересчитать digest. Поэтому valid index доказывает только соответствующую local integrity, не independent issuer authentication или исключительность writers. Нельзя разрешать private bytes по этому digest без точного admitted closure.</w:t>
      </w:r>
    </w:p>
    <w:p>
      <w:pPr>
        <w:wordWrap w:val="0"/>
      </w:pPr>
      <w:r>
        <w:t xml:space="preserve">Предлагаемый, а не подтверждённый существующий DTO, closure contract должен связывать exact governed-public selected ref, разрешённые purpose/operation, завершённое owner verification evidence, применимый store/deployment trust scope и собственную issuance identity. Request не может сам создать closure в обход completed verification. Owner closure проверяется </w:t>
      </w:r>
      <w:r>
        <w:rPr>
          <w:b/>
        </w:rPr>
        <w:t>до первого открытия или чтения private evidence</w:t>
      </w:r>
      <w:r>
        <w:t xml:space="preserve">; отсутствие либо mismatch даёт </w:t>
      </w:r>
      <w:r>
        <w:rPr>
          <w:rFonts w:ascii="DejaVu Sans Mono" w:hAnsi="DejaVu Sans Mono"/>
          <w:sz w:val="19"/>
        </w:rPr>
        <w:t>public_read_closure_missing</w:t>
      </w:r>
      <w:r>
        <w:t xml:space="preserve">, </w:t>
      </w:r>
      <w:r>
        <w:rPr>
          <w:rFonts w:ascii="DejaVu Sans Mono" w:hAnsi="DejaVu Sans Mono"/>
          <w:sz w:val="19"/>
        </w:rPr>
        <w:t>closure_scope_mismatch</w:t>
      </w:r>
      <w:r>
        <w:t xml:space="preserve"> или </w:t>
      </w:r>
      <w:r>
        <w:rPr>
          <w:rFonts w:ascii="DejaVu Sans Mono" w:hAnsi="DejaVu Sans Mono"/>
          <w:sz w:val="19"/>
        </w:rPr>
        <w:t>closure_trust_not_established</w:t>
      </w:r>
      <w:r>
        <w:t xml:space="preserve">. Records без него требуют authorized transition, а не reader-time automatic public admission. Permission внутреннему verifier читать private evidence отличается от разрешения вернуть данные анонимному клиенту: closure связывает </w:t>
      </w:r>
      <w:r>
        <w:rPr>
          <w:rFonts w:ascii="DejaVu Sans Mono" w:hAnsi="DejaVu Sans Mono"/>
          <w:sz w:val="19"/>
        </w:rPr>
        <w:t>release_projection_ref</w:t>
      </w:r>
      <w:r>
        <w:t xml:space="preserve"> с точным разрешённым public output, и private fields не попадают в ответ. Closure опирается на уже известные record/read refs; owner lookup связывает record→closure, без переписывания record ради hash собственного closure. Для unclosed history можно выпустить новое разрешение с правдивым сегодняшним admission time, но нельзя задним числом приписать historical public permission.</w:t>
      </w:r>
    </w:p>
    <w:p>
      <w:pPr/>
      <w:r>
        <w:t>Каждая итерация watch заново проверяет exact closure и withdrawal до очередного private open. Начальное разрешение не является бессрочным grant для следующих records; уже выпущенные bytes физически не отзываются.</w:t>
      </w:r>
    </w:p>
    <w:p>
      <w:pPr/>
      <w:r>
        <w:t>Selected ArtifactRef propagation можно исправлять независимо: сохранение точного ref не добавляет permission. Принятый V2 refusal остаётся. Acceptance должен удалить только closure при valid index и убедиться, что anonymous GET/watcher отказал до private read, сохранив прочие publisher/mandate/population/locator claims. Другие обязательные отрицательные случаи: untrusted principal подменяет canonical index; request фабрикует closure без owner verification; разрешённый ref используется с другим purpose/operation. Positive control проходит actual admitted owner composition с exact record и разрешённой release projection; отдельная проверка отсекает private-field leakage. Synthetic trust root не представляется настоящим appointment.</w:t>
      </w:r>
    </w:p>
    <w:p>
      <w:pPr>
        <w:pStyle w:val="Heading1"/>
      </w:pPr>
      <w:bookmarkStart w:id="12" w:name="section_4"/>
      <w:r>
        <w:t>4 Риск публикация и применение</w:t>
      </w:r>
      <w:bookmarkEnd w:id="12"/>
    </w:p>
    <w:p>
      <w:pPr>
        <w:pStyle w:val="Heading2"/>
      </w:pPr>
      <w:bookmarkStart w:id="13" w:name="E02_ARCH_06"/>
      <w:r>
        <w:t>4.1 E02-ARCH-06 Сначала определить гарантию затем её счётчик</w:t>
      </w:r>
      <w:bookmarkEnd w:id="13"/>
    </w:p>
    <w:p>
      <w:pPr/>
      <w:r>
        <w:t>Три оси N11 принимаются отдельно: lifetime/basis transitions, tenant/global scope и exact serving-store custody.</w:t>
      </w:r>
    </w:p>
    <w:p>
      <w:pPr>
        <w:wordWrap w:val="0"/>
      </w:pPr>
      <w:r>
        <w:rPr>
          <w:rFonts w:ascii="DejaVu Sans Mono" w:hAnsi="DejaVu Sans Mono"/>
          <w:sz w:val="19"/>
        </w:rPr>
        <w:t>GuaranteeSpec</w:t>
      </w:r>
      <w:r>
        <w:t xml:space="preserve"> должен определить:</w:t>
      </w:r>
    </w:p>
    <w:p>
      <w:pPr>
        <w:pStyle w:val="ListBullet"/>
      </w:pPr>
      <w:r>
        <w:t>guarantee kind, bad event, claim scope и audience</w:t>
      </w:r>
    </w:p>
    <w:p>
      <w:pPr>
        <w:pStyle w:val="ListBullet"/>
      </w:pPr>
      <w:r>
        <w:t>accounting method и version, assumptions, risk bound с единицей</w:t>
      </w:r>
    </w:p>
    <w:p>
      <w:pPr>
        <w:pStyle w:val="ListBullet"/>
      </w:pPr>
      <w:r>
        <w:t>policy tolerance ref, owner и family admission ref</w:t>
      </w:r>
    </w:p>
    <w:p>
      <w:pPr>
        <w:pStyle w:val="ListBullet"/>
        <w:wordWrap w:val="0"/>
      </w:pPr>
      <w:r>
        <w:t xml:space="preserve">статус </w:t>
      </w:r>
      <w:r>
        <w:rPr>
          <w:rFonts w:ascii="DejaVu Sans Mono" w:hAnsi="DejaVu Sans Mono"/>
          <w:sz w:val="19"/>
        </w:rPr>
        <w:t>experimental_non_authoritative</w:t>
      </w:r>
      <w:r>
        <w:t xml:space="preserve">, </w:t>
      </w:r>
      <w:r>
        <w:rPr>
          <w:rFonts w:ascii="DejaVu Sans Mono" w:hAnsi="DejaVu Sans Mono"/>
          <w:sz w:val="19"/>
        </w:rPr>
        <w:t>active_claim</w:t>
      </w:r>
      <w:r>
        <w:t xml:space="preserve"> или </w:t>
      </w:r>
      <w:r>
        <w:rPr>
          <w:rFonts w:ascii="DejaVu Sans Mono" w:hAnsi="DejaVu Sans Mono"/>
          <w:sz w:val="19"/>
        </w:rPr>
        <w:t>closed_claim</w:t>
      </w:r>
    </w:p>
    <w:p>
      <w:pPr>
        <w:pStyle w:val="ListBullet"/>
      </w:pPr>
      <w:r>
        <w:t>начало и критерий окончания</w:t>
      </w:r>
    </w:p>
    <w:p>
      <w:pPr>
        <w:pStyle w:val="ListBullet"/>
      </w:pPr>
      <w:r>
        <w:t>data reuse policy, selection history и allowed evidence reuse</w:t>
      </w:r>
    </w:p>
    <w:p>
      <w:pPr>
        <w:wordWrap w:val="0"/>
      </w:pPr>
      <w:r>
        <w:t xml:space="preserve">Нативные </w:t>
      </w:r>
      <w:r>
        <w:rPr>
          <w:rFonts w:ascii="DejaVu Sans Mono" w:hAnsi="DejaVu Sans Mono"/>
          <w:sz w:val="19"/>
        </w:rPr>
        <w:t>PredictableClaimSpec</w:t>
      </w:r>
      <w:r>
        <w:t xml:space="preserve"> поля сохраняются: </w:t>
      </w:r>
      <w:r>
        <w:rPr>
          <w:rFonts w:ascii="DejaVu Sans Mono" w:hAnsi="DejaVu Sans Mono"/>
          <w:sz w:val="19"/>
        </w:rPr>
        <w:t>claim_ref</w:t>
      </w:r>
      <w:r>
        <w:t xml:space="preserve">, </w:t>
      </w:r>
      <w:r>
        <w:rPr>
          <w:rFonts w:ascii="DejaVu Sans Mono" w:hAnsi="DejaVu Sans Mono"/>
          <w:sz w:val="19"/>
        </w:rPr>
        <w:t>null_ref</w:t>
      </w:r>
      <w:r>
        <w:t xml:space="preserve">, </w:t>
      </w:r>
      <w:r>
        <w:rPr>
          <w:rFonts w:ascii="DejaVu Sans Mono" w:hAnsi="DejaVu Sans Mono"/>
          <w:sz w:val="19"/>
        </w:rPr>
        <w:t>claim_scope_ref</w:t>
      </w:r>
      <w:r>
        <w:t xml:space="preserve">, </w:t>
      </w:r>
      <w:r>
        <w:rPr>
          <w:rFonts w:ascii="DejaVu Sans Mono" w:hAnsi="DejaVu Sans Mono"/>
          <w:sz w:val="19"/>
        </w:rPr>
        <w:t>data_window_ref</w:t>
      </w:r>
      <w:r>
        <w:t xml:space="preserve">, </w:t>
      </w:r>
      <w:r>
        <w:rPr>
          <w:rFonts w:ascii="DejaVu Sans Mono" w:hAnsi="DejaVu Sans Mono"/>
          <w:sz w:val="19"/>
        </w:rPr>
        <w:t>certificate_role</w:t>
      </w:r>
      <w:r>
        <w:t xml:space="preserve">, </w:t>
      </w:r>
      <w:r>
        <w:rPr>
          <w:rFonts w:ascii="DejaVu Sans Mono" w:hAnsi="DejaVu Sans Mono"/>
          <w:sz w:val="19"/>
        </w:rPr>
        <w:t>claim_polarity</w:t>
      </w:r>
      <w:r>
        <w:t>. Бюджет без этих смыслов не устанавливает научную гарантию.</w:t>
      </w:r>
    </w:p>
    <w:p>
      <w:pPr>
        <w:wordWrap w:val="0"/>
      </w:pPr>
      <w:r>
        <w:t xml:space="preserve">Для продолжающегося реального семейства рекомендую сохранять accountant state через authorized basis transitions. </w:t>
      </w:r>
      <w:r>
        <w:rPr>
          <w:rFonts w:ascii="DejaVu Sans Mono" w:hAnsi="DejaVu Sans Mono"/>
          <w:sz w:val="19"/>
        </w:rPr>
        <w:t>BasisTransition</w:t>
      </w:r>
      <w:r>
        <w:t xml:space="preserve"> связывает from/to basis, reason, changed dimensions, predecessor head, owner decision и accounting effect </w:t>
      </w:r>
      <w:r>
        <w:rPr>
          <w:rFonts w:ascii="DejaVu Sans Mono" w:hAnsi="DejaVu Sans Mono"/>
          <w:sz w:val="19"/>
        </w:rPr>
        <w:t>carry</w:t>
      </w:r>
      <w:r>
        <w:t xml:space="preserve">, </w:t>
      </w:r>
      <w:r>
        <w:rPr>
          <w:rFonts w:ascii="DejaVu Sans Mono" w:hAnsi="DejaVu Sans Mono"/>
          <w:sz w:val="19"/>
        </w:rPr>
        <w:t>new_suballocation</w:t>
      </w:r>
      <w:r>
        <w:t xml:space="preserve"> или </w:t>
      </w:r>
      <w:r>
        <w:rPr>
          <w:rFonts w:ascii="DejaVu Sans Mono" w:hAnsi="DejaVu Sans Mono"/>
          <w:sz w:val="19"/>
        </w:rPr>
        <w:t>separate_family</w:t>
      </w:r>
      <w:r>
        <w:t xml:space="preserve">. Новый basis сам по себе не разрешает </w:t>
      </w:r>
      <w:r>
        <w:rPr>
          <w:rFonts w:ascii="DejaVu Sans Mono" w:hAnsi="DejaVu Sans Mono"/>
          <w:sz w:val="19"/>
        </w:rPr>
        <w:t>separate_family</w:t>
      </w:r>
      <w:r>
        <w:t>.</w:t>
      </w:r>
    </w:p>
    <w:p>
      <w:pPr/>
      <w:r>
        <w:t>Для явно закрываемого эксперимента без продолжающегося protected use допустимы closure, чистая пересборка и новый experimental family ID. Не нужно бессрочно сохранять действующими demo budgets. Сохраняются правдивая история и disposition. Если результаты прежнего поиска использованы для нового подтверждающего вывода, сохраняется также релевантная selection/reuse history.</w:t>
      </w:r>
    </w:p>
    <w:p>
      <w:pPr>
        <w:wordWrap w:val="0"/>
      </w:pPr>
      <w:r>
        <w:t xml:space="preserve">Пример: просмотр 100 независимых null-кандидатов и выбор минимального p-value даёт вероятность хотя бы одного </w:t>
      </w:r>
      <w:r>
        <w:rPr>
          <w:rFonts w:ascii="DejaVu Sans Mono" w:hAnsi="DejaVu Sans Mono"/>
          <w:sz w:val="19"/>
        </w:rPr>
        <w:t>p≤0.05</w:t>
      </w:r>
      <w:r>
        <w:t xml:space="preserve">, равную </w:t>
      </w:r>
      <w:r>
        <w:rPr>
          <w:rFonts w:ascii="DejaVu Sans Mono" w:hAnsi="DejaVu Sans Mono"/>
          <w:sz w:val="19"/>
        </w:rPr>
        <w:t>1−0.95^100</w:t>
      </w:r>
      <w:r>
        <w:t>, около 0.994. Новый account не превращает выбранный результат в независимую 5%-ную проверку. Для active guarantee нужен метод, учитывающий selection/reuse, либо действительно новая или sealed validation design. Anytime-valid метод для одного процесса не автоматически покрывает произвольно выбранный новый estimand [В3].</w:t>
      </w:r>
    </w:p>
    <w:p>
      <w:pPr/>
      <w:r>
        <w:rPr>
          <w:b/>
        </w:rPr>
        <w:t>Рекомендуемый scope.</w:t>
      </w:r>
      <w:r>
        <w:t xml:space="preserve"> В первом локальном профиле использовать single-operator namespace. Tenant custody отделить от статистической family. Parent/aggregate allocation нужен только если обещание действительно относится к совокупности решений tenants. Добавление tenant в ключ не должно размножать бюджет общей гарантии. Cell routing вообще не определяет lifetime научной гарантии.</w:t>
      </w:r>
    </w:p>
    <w:p>
      <w:pPr>
        <w:wordWrap w:val="0"/>
      </w:pPr>
      <w:r>
        <w:t xml:space="preserve">Target </w:t>
      </w:r>
      <w:r>
        <w:rPr>
          <w:rFonts w:ascii="DejaVu Sans Mono" w:hAnsi="DejaVu Sans Mono"/>
          <w:sz w:val="19"/>
        </w:rPr>
        <w:t>RiskAccount</w:t>
      </w:r>
      <w:r>
        <w:t xml:space="preserve"> связывает family/spec, owner namespace, method version, admitted basis transitions, accountant state, history sequence/head, operation dedup index и status. Private </w:t>
      </w:r>
      <w:r>
        <w:rPr>
          <w:rFonts w:ascii="DejaVu Sans Mono" w:hAnsi="DejaVu Sans Mono"/>
          <w:sz w:val="19"/>
        </w:rPr>
        <w:t>LedgerOwnerCapability</w:t>
      </w:r>
      <w:r>
        <w:t xml:space="preserve"> связывает exact backend/store, deployment, registry/state root, authenticated owner scope, permitted purpose/operations и selected risk family. Её обязаны использовать </w:t>
      </w:r>
      <w:r>
        <w:rPr>
          <w:b/>
        </w:rPr>
        <w:t>оба пути: writer и независимый replay reader</w:t>
      </w:r>
      <w:r>
        <w:t xml:space="preserve">. Исследованный R13 путь с </w:t>
      </w:r>
      <w:r>
        <w:rPr>
          <w:rFonts w:ascii="DejaVu Sans Mono" w:hAnsi="DejaVu Sans Mono"/>
          <w:sz w:val="19"/>
        </w:rPr>
        <w:t>from_repo()</w:t>
      </w:r>
      <w:r>
        <w:t xml:space="preserve"> и совпадающим root не доказывает custody переданного store; исправление только writer оставляет расхождение. Текущий stable N11 scope включает owner/purpose/key/epoch, но не выбирает global versus tenant policy сам по себе.</w:t>
      </w:r>
    </w:p>
    <w:p>
      <w:pPr>
        <w:wordWrap w:val="0"/>
      </w:pPr>
      <w:r>
        <w:t xml:space="preserve">Метод accounting не заменяется универсальным «монотонным scalar spend». Для простого суммирования валидных </w:t>
      </w:r>
      <w:r>
        <w:rPr>
          <w:rFonts w:ascii="DejaVu Sans Mono" w:hAnsi="DejaVu Sans Mono"/>
          <w:sz w:val="19"/>
        </w:rPr>
        <w:t>alpha_i</w:t>
      </w:r>
      <w:r>
        <w:t xml:space="preserve"> условие </w:t>
      </w:r>
      <w:r>
        <w:rPr>
          <w:rFonts w:ascii="DejaVu Sans Mono" w:hAnsi="DejaVu Sans Mono"/>
          <w:sz w:val="19"/>
        </w:rPr>
        <w:t>sum(alpha_i)≤A</w:t>
      </w:r>
      <w:r>
        <w:t xml:space="preserve"> даёт union bound; независимость не нужна, но адаптивное выделение требует соответствующей conditional validity/predictability. Если выбранный метод допускает earned recycling, сохраняется его инвариант. Statistical delta, допустимый policy harm и compute budget CG2 остаются разными величинами.</w:t>
      </w:r>
    </w:p>
    <w:p>
      <w:pPr>
        <w:pStyle w:val="Heading2"/>
      </w:pPr>
      <w:bookmarkStart w:id="14" w:name="E02_ARCH_07"/>
      <w:r>
        <w:t>4.2 E02-ARCH-07 Три последовательных события E P U</w:t>
      </w:r>
      <w:bookmarkEnd w:id="14"/>
    </w:p>
    <w:p>
      <w:pPr/>
      <w:r>
        <w:t>Общий протокол состоит из трёх событий. Их нельзя слить в одну позднюю публикацию.</w:t>
      </w:r>
    </w:p>
    <w:p>
      <w:pPr/>
      <w:r>
        <w:rPr>
          <w:b/>
        </w:rPr>
        <w:t>E RiskActivation.</w:t>
      </w:r>
      <w:r>
        <w:t xml:space="preserve"> До появления новой инференциальной возможности N11 атомарно проверяет family, basis, capacity/head и operation identity и фиксирует activation. Только после durable E можно начать соответствующий evaluation. Отрицательный результат, crash, timeout или отказ публикации не дают автоматического возврата риска.</w:t>
      </w:r>
    </w:p>
    <w:p>
      <w:pPr/>
      <w:r>
        <w:rPr>
          <w:b/>
        </w:rPr>
        <w:t>P ProtectedAdmission.</w:t>
      </w:r>
      <w:r>
        <w:t xml:space="preserve"> После вычисления и staging bytes допускается публикация конкретного результата. P проверяет текущие authoritative revisions всех участвующих владельцев, exact grant, fence, policy/trust observations и уже активированную risk operation E. В одной транзакции появляются admission event, выбранный manifest/pointer, idempotency result и нужный projection outbox. P не повторно списывает риск и не возвращает E при отказе.</w:t>
      </w:r>
    </w:p>
    <w:p>
      <w:pPr>
        <w:wordWrap w:val="0"/>
      </w:pPr>
      <w:r>
        <w:rPr>
          <w:b/>
        </w:rPr>
        <w:t>U UseAdmission.</w:t>
      </w:r>
      <w:r>
        <w:t xml:space="preserve"> Позднейшее защищённое применение заново проверяет действительность. Оно атомарно переводит pending intent в </w:t>
      </w:r>
      <w:r>
        <w:rPr>
          <w:rFonts w:ascii="DejaVu Sans Mono" w:hAnsi="DejaVu Sans Mono"/>
          <w:sz w:val="19"/>
        </w:rPr>
        <w:t>effect_inflight</w:t>
      </w:r>
      <w:r>
        <w:t xml:space="preserve"> относительно текущих запретов и fencing. Отмена, committed до U, запрещает начало. Отмена после U может застать уже начатое внешнее действие; оно требует reconciliation, а не обещания физически отменить прошлое.</w:t>
      </w:r>
    </w:p>
    <w:p>
      <w:pPr>
        <w:wordWrap w:val="0"/>
      </w:pPr>
      <w:r>
        <w:rPr>
          <w:rFonts w:ascii="DejaVu Sans Mono" w:hAnsi="DejaVu Sans Mono"/>
          <w:sz w:val="19"/>
        </w:rPr>
        <w:t>RiskOperation</w:t>
      </w:r>
      <w:r>
        <w:t xml:space="preserve"> хранит owner/account-scoped operation ID, semantic request digest, subject/basis/occurrence, method step, allocation, activation/result refs и state. Digest включает exact claim/null/data window, evaluation procedure и релевантную randomness/stream identity. Retry возвращает старое состояние. Новое случайное исследование нельзя спрятать под прежним idempotency key. Повторное вычисление допустимо как точный frozen-input/randomness replay либо method-certified continuation.</w:t>
      </w:r>
    </w:p>
    <w:p>
      <w:pPr>
        <w:wordWrap w:val="0"/>
      </w:pPr>
      <w:r>
        <w:t xml:space="preserve">Переходы N11: </w:t>
      </w:r>
      <w:r>
        <w:rPr>
          <w:rFonts w:ascii="DejaVu Sans Mono" w:hAnsi="DejaVu Sans Mono"/>
          <w:sz w:val="19"/>
        </w:rPr>
        <w:t>planned → reserved → activated → finalized</w:t>
      </w:r>
      <w:r>
        <w:t xml:space="preserve">. Ветвь </w:t>
      </w:r>
      <w:r>
        <w:rPr>
          <w:rFonts w:ascii="DejaVu Sans Mono" w:hAnsi="DejaVu Sans Mono"/>
          <w:sz w:val="19"/>
        </w:rPr>
        <w:t>reserved → cancelled_unexposed</w:t>
      </w:r>
      <w:r>
        <w:t xml:space="preserve"> допускает освобождение только при owner evidence отсутствия exposure и fence против позднего запуска. Неизвестный exposure сохраняет обязательство. Same key плюс другой semantic digest даёт </w:t>
      </w:r>
      <w:r>
        <w:rPr>
          <w:rFonts w:ascii="DejaVu Sans Mono" w:hAnsi="DejaVu Sans Mono"/>
          <w:sz w:val="19"/>
        </w:rPr>
        <w:t>idempotency_conflict</w:t>
      </w:r>
      <w:r>
        <w:t>.</w:t>
      </w:r>
    </w:p>
    <w:p>
      <w:pPr>
        <w:pStyle w:val="Heading2"/>
      </w:pPr>
      <w:bookmarkStart w:id="15" w:name="E02_ARCH_08"/>
      <w:r>
        <w:t>4.3 E02-ARCH-08 Один локальный порядок всех invalidators</w:t>
      </w:r>
      <w:bookmarkEnd w:id="15"/>
    </w:p>
    <w:p>
      <w:pPr/>
      <w:r>
        <w:t>Причина общего домена конкретна: Core может прочитать Control fence=7 и active risk permit, затем Control committed отмену/fence=8, а Core committed разрешение по старому чтению. Три локально корректных stores не обеспечивают один обещанный текущий допуск.</w:t>
      </w:r>
    </w:p>
    <w:p>
      <w:pPr/>
      <w:r>
        <w:t>В strict local protected profile authoritative admission revisions Core claims, Control cancellation/fence/assignment, relevant trust/policy epochs и N11 activation state находятся в одной физической транзакционной базе. Смысловые owners раздельны; запрещены mirrored authoritative epochs с периодическим копированием. Все invalidating writes участвуют в этом домене. Отдельный preflight через несколько stores недостаточен.</w:t>
      </w:r>
    </w:p>
    <w:p>
      <w:pPr>
        <w:wordWrap w:val="0"/>
      </w:pPr>
      <w:r>
        <w:t xml:space="preserve">Предпочтительный локальный механизм — одна SQLite database file при явно квалифицированном same-host filesystem/runtime. Несколько </w:t>
      </w:r>
      <w:r>
        <w:rPr>
          <w:rFonts w:ascii="DejaVu Sans Mono" w:hAnsi="DejaVu Sans Mono"/>
          <w:sz w:val="19"/>
        </w:rPr>
        <w:t>ATTACH</w:t>
      </w:r>
      <w:r>
        <w:t>ed WAL databases не дают требуемого единого атомарного commit. Blob storage может остаться внешним immutable CAS: его durable placement и проверка должны предшествовать P. Транзакция базы не делает внешние bytes durable. Предположения об atomic commit и WAL должны быть подтверждены для реально linked runtime, включая актуальные исправления; process-crash проверка не считается доказательством power/host-loss recovery [В4].</w:t>
      </w:r>
    </w:p>
    <w:p>
      <w:pPr>
        <w:wordWrap w:val="0"/>
      </w:pPr>
      <w:r>
        <w:rPr>
          <w:rFonts w:ascii="DejaVu Sans Mono" w:hAnsi="DejaVu Sans Mono"/>
          <w:sz w:val="19"/>
        </w:rPr>
        <w:t>AuthorityAdmissionEvent</w:t>
      </w:r>
      <w:r>
        <w:t xml:space="preserve"> связывает operation ID/digest, event sequence, owner-recorded decision time, deployment/envelope, tenant/cell, subject/basis/occurrence, exact selected refs, job/attempt/fence, cancellation/authorization revisions, relevant dependency revisions, risk account/operation/activation/head, permitted use, result manifest и rule/policy refs.</w:t>
      </w:r>
    </w:p>
    <w:p>
      <w:pPr/>
      <w:r>
        <w:t>Глобальная sequence служит locator, а не scoped semantic digest. Несвязанная публикация другого tenant не должна делать packet stale. Однако withdrawal и повторное admission релевантного claim увеличивают его monotonic revision, чтобы не возникал ABA.</w:t>
      </w:r>
    </w:p>
    <w:p>
      <w:pPr/>
      <w:r>
        <w:t>В candidate/history профиле существующие generation/pointer и per-owner stores сохраняются в пределах их подтверждённых обещаний. Они не получают более сильной межвладельческой атомарности от одинакового интерфейса. При позднем введении strict domain не нужно держать два конкурирующих authoritative backend и dual-write truth.</w:t>
      </w:r>
    </w:p>
    <w:p>
      <w:pPr>
        <w:pStyle w:val="Heading2"/>
      </w:pPr>
      <w:bookmarkStart w:id="16" w:name="E02_ARCH_09"/>
      <w:r>
        <w:t>4.4 E02-ARCH-09 V3 packet и отсутствие циклического hash binding</w:t>
      </w:r>
      <w:bookmarkEnd w:id="16"/>
    </w:p>
    <w:p>
      <w:pPr/>
      <w:r>
        <w:t>V3 packet связывает schema/serializer version, approval/operation ID, tenant/cell, authority mode, exact scorecard, basis, human decision и request refs, deployment identity, trust policy и scoped artifact ownership evidence.</w:t>
      </w:r>
    </w:p>
    <w:p>
      <w:pPr>
        <w:wordWrap w:val="0"/>
      </w:pPr>
      <w:r>
        <w:t xml:space="preserve">Ownership evidence включает store instance, claim-set schema/digest, exact evidence ref, relevant policy/ownership revisions и </w:t>
      </w:r>
      <w:r>
        <w:rPr>
          <w:rFonts w:ascii="DejaVu Sans Mono" w:hAnsi="DejaVu Sans Mono"/>
          <w:sz w:val="19"/>
        </w:rPr>
        <w:t>AdmissionObservation</w:t>
      </w:r>
      <w:r>
        <w:t xml:space="preserve"> refs. Каждый claim содержит ID, monotonic revision, tenant/cell, selected ref, relationship, permission/purpose и active/withdrawn status.</w:t>
      </w:r>
    </w:p>
    <w:p>
      <w:pPr/>
      <w:r>
        <w:t>Связь ациклична: packet подписывает уже существующие input claims; последующий admission event связывает packet ref и их revisions. Packet не включает hash будущего события, которое само включает hash packet. Current resolver проверяет конкретные claims, а не требует равенства глобального owner generation.</w:t>
      </w:r>
    </w:p>
    <w:p>
      <w:pPr>
        <w:wordWrap w:val="0"/>
      </w:pPr>
      <w:r>
        <w:t xml:space="preserve">Состояния операции: </w:t>
      </w:r>
      <w:r>
        <w:rPr>
          <w:rFonts w:ascii="DejaVu Sans Mono" w:hAnsi="DejaVu Sans Mono"/>
          <w:sz w:val="19"/>
        </w:rPr>
        <w:t>prepared</w:t>
      </w:r>
      <w:r>
        <w:t xml:space="preserve">, </w:t>
      </w:r>
      <w:r>
        <w:rPr>
          <w:rFonts w:ascii="DejaVu Sans Mono" w:hAnsi="DejaVu Sans Mono"/>
          <w:sz w:val="19"/>
        </w:rPr>
        <w:t>committed</w:t>
      </w:r>
      <w:r>
        <w:t xml:space="preserve">, </w:t>
      </w:r>
      <w:r>
        <w:rPr>
          <w:rFonts w:ascii="DejaVu Sans Mono" w:hAnsi="DejaVu Sans Mono"/>
          <w:sz w:val="19"/>
        </w:rPr>
        <w:t>delivery_pending</w:t>
      </w:r>
      <w:r>
        <w:t xml:space="preserve">, </w:t>
      </w:r>
      <w:r>
        <w:rPr>
          <w:rFonts w:ascii="DejaVu Sans Mono" w:hAnsi="DejaVu Sans Mono"/>
          <w:sz w:val="19"/>
        </w:rPr>
        <w:t>reconciled</w:t>
      </w:r>
      <w:r>
        <w:t xml:space="preserve">, </w:t>
      </w:r>
      <w:r>
        <w:rPr>
          <w:rFonts w:ascii="DejaVu Sans Mono" w:hAnsi="DejaVu Sans Mono"/>
          <w:sz w:val="19"/>
        </w:rPr>
        <w:t>aborted</w:t>
      </w:r>
      <w:r>
        <w:t xml:space="preserve">, </w:t>
      </w:r>
      <w:r>
        <w:rPr>
          <w:rFonts w:ascii="DejaVu Sans Mono" w:hAnsi="DejaVu Sans Mono"/>
          <w:sz w:val="19"/>
        </w:rPr>
        <w:t>commit_indeterminate</w:t>
      </w:r>
      <w:r>
        <w:t xml:space="preserve">. Потерянный ответ после commit восстанавливается по operation ID; не создаётся новая выдача. Повторный ответ может вернуть прежний P вместе с отдельно вычисленным сегодняшним </w:t>
      </w:r>
      <w:r>
        <w:rPr>
          <w:rFonts w:ascii="DejaVu Sans Mono" w:hAnsi="DejaVu Sans Mono"/>
          <w:sz w:val="19"/>
        </w:rPr>
        <w:t>withdrawn</w:t>
      </w:r>
      <w:r>
        <w:t>.</w:t>
      </w:r>
    </w:p>
    <w:p>
      <w:pPr/>
      <w:r>
        <w:t>Исторический default-off pointer proposal не считается действующим activation gate: текущий writer в examined source остаётся unconditional, а позднее принятое shared-owner V2 refusal заменило прежний interim. V3 scoped writer/reader, owner-atomic control, affected inventory и deployment-bound drain ещё нужно реализовать и квалифицировать.</w:t>
      </w:r>
    </w:p>
    <w:p>
      <w:pPr/>
      <w:r>
        <w:t>Ошибка missing issuer, invalid signature, unresolved claims, unsupported version, revision conflict или indeterminate commit остаётся типизированной. V2 shortcut и evidence-error-to-None запрещены. Projection outbox допускает повторную доставку; каждый downstream sink отдельно обеспечивает idempotency. Outbox не обещает exactly-once внешнего эффекта [В5].</w:t>
      </w:r>
    </w:p>
    <w:p>
      <w:pPr>
        <w:pStyle w:val="Heading2"/>
      </w:pPr>
      <w:r>
        <w:t>4.5 Исходы crash и отмены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926"/>
      </w:tblGrid>
      <w:tr>
        <w:trPr>
          <w:cantSplit/>
          <w:tblHeader/>
        </w:trPr>
        <w:tc>
          <w:tcPr>
            <w:tcW w:type="dxa" w:w="2952"/>
            <w:vAlign w:val="center"/>
            <w:tcMar>
              <w:top w:w="95" w:type="dxa"/>
              <w:bottom w:w="95" w:type="dxa"/>
              <w:left w:w="100" w:type="dxa"/>
              <w:right w:w="100" w:type="dxa"/>
            </w:tcMar>
            <w:shd w:fill="E5EDF1"/>
          </w:tcPr>
          <w:p>
            <w:pPr>
              <w:pStyle w:val="TableBody"/>
              <w:keepNext/>
            </w:pPr>
            <w:r>
              <w:rPr>
                <w:b/>
                <w:color w:val="000000"/>
              </w:rPr>
              <w:t>Точка отказа</w:t>
            </w:r>
          </w:p>
        </w:tc>
        <w:tc>
          <w:tcPr>
            <w:tcW w:type="dxa" w:w="6926"/>
            <w:vAlign w:val="center"/>
            <w:tcMar>
              <w:top w:w="95" w:type="dxa"/>
              <w:bottom w:w="95" w:type="dxa"/>
              <w:left w:w="100" w:type="dxa"/>
              <w:right w:w="100" w:type="dxa"/>
            </w:tcMar>
            <w:shd w:fill="E5EDF1"/>
          </w:tcPr>
          <w:p>
            <w:pPr>
              <w:pStyle w:val="TableBody"/>
              <w:keepNext/>
            </w:pPr>
            <w:r>
              <w:rPr>
                <w:b/>
                <w:color w:val="000000"/>
              </w:rPr>
              <w:t>Допустимый результат</w:t>
            </w:r>
          </w:p>
        </w:tc>
      </w:tr>
      <w:tr>
        <w:trPr>
          <w:cantSplit/>
        </w:trPr>
        <w:tc>
          <w:tcPr>
            <w:tcW w:type="dxa" w:w="2952"/>
            <w:vAlign w:val="center"/>
            <w:tcMar>
              <w:top w:w="95" w:type="dxa"/>
              <w:bottom w:w="95" w:type="dxa"/>
              <w:left w:w="100" w:type="dxa"/>
              <w:right w:w="100" w:type="dxa"/>
            </w:tcMar>
            <w:shd w:fill="FFFFFF"/>
          </w:tcPr>
          <w:p>
            <w:pPr>
              <w:pStyle w:val="TableBody"/>
            </w:pPr>
            <w:r>
              <w:t>До durable E</w:t>
            </w:r>
          </w:p>
        </w:tc>
        <w:tc>
          <w:tcPr>
            <w:tcW w:type="dxa" w:w="6926"/>
            <w:vAlign w:val="center"/>
            <w:tcMar>
              <w:top w:w="95" w:type="dxa"/>
              <w:bottom w:w="95" w:type="dxa"/>
              <w:left w:w="100" w:type="dxa"/>
              <w:right w:w="100" w:type="dxa"/>
            </w:tcMar>
            <w:shd w:fill="FFFFFF"/>
          </w:tcPr>
          <w:p>
            <w:pPr>
              <w:pStyle w:val="TableBody"/>
            </w:pPr>
            <w:r>
              <w:t>Evaluation не начат; release reservation только по подтверждённой never-activated ветви</w:t>
            </w:r>
          </w:p>
        </w:tc>
      </w:tr>
      <w:tr>
        <w:trPr>
          <w:cantSplit/>
        </w:trPr>
        <w:tc>
          <w:tcPr>
            <w:tcW w:type="dxa" w:w="2952"/>
            <w:vAlign w:val="center"/>
            <w:tcMar>
              <w:top w:w="95" w:type="dxa"/>
              <w:bottom w:w="95" w:type="dxa"/>
              <w:left w:w="100" w:type="dxa"/>
              <w:right w:w="100" w:type="dxa"/>
            </w:tcMar>
            <w:shd w:fill="F4F6F7"/>
          </w:tcPr>
          <w:p>
            <w:pPr>
              <w:pStyle w:val="TableBody"/>
            </w:pPr>
            <w:r>
              <w:t>После E до P</w:t>
            </w:r>
          </w:p>
        </w:tc>
        <w:tc>
          <w:tcPr>
            <w:tcW w:type="dxa" w:w="6926"/>
            <w:vAlign w:val="center"/>
            <w:tcMar>
              <w:top w:w="95" w:type="dxa"/>
              <w:bottom w:w="95" w:type="dxa"/>
              <w:left w:w="100" w:type="dxa"/>
              <w:right w:w="100" w:type="dxa"/>
            </w:tcMar>
            <w:shd w:fill="F4F6F7"/>
          </w:tcPr>
          <w:p>
            <w:pPr>
              <w:pStyle w:val="TableBody"/>
            </w:pPr>
            <w:r>
              <w:t>Accounting сохранён; recovery по прежнему operation key, без автоматического refund</w:t>
            </w:r>
          </w:p>
        </w:tc>
      </w:tr>
      <w:tr>
        <w:trPr>
          <w:cantSplit/>
        </w:trPr>
        <w:tc>
          <w:tcPr>
            <w:tcW w:type="dxa" w:w="2952"/>
            <w:vAlign w:val="center"/>
            <w:tcMar>
              <w:top w:w="95" w:type="dxa"/>
              <w:bottom w:w="95" w:type="dxa"/>
              <w:left w:w="100" w:type="dxa"/>
              <w:right w:w="100" w:type="dxa"/>
            </w:tcMar>
            <w:shd w:fill="FFFFFF"/>
          </w:tcPr>
          <w:p>
            <w:pPr>
              <w:pStyle w:val="TableBody"/>
            </w:pPr>
            <w:r>
              <w:t>Bytes staged но P не committed</w:t>
            </w:r>
          </w:p>
        </w:tc>
        <w:tc>
          <w:tcPr>
            <w:tcW w:type="dxa" w:w="6926"/>
            <w:vAlign w:val="center"/>
            <w:tcMar>
              <w:top w:w="95" w:type="dxa"/>
              <w:bottom w:w="95" w:type="dxa"/>
              <w:left w:w="100" w:type="dxa"/>
              <w:right w:w="100" w:type="dxa"/>
            </w:tcMar>
            <w:shd w:fill="FFFFFF"/>
          </w:tcPr>
          <w:p>
            <w:pPr>
              <w:pStyle w:val="TableBody"/>
            </w:pPr>
            <w:r>
              <w:t>Возможны orphan blobs; публикации нет, E остаётся</w:t>
            </w:r>
          </w:p>
        </w:tc>
      </w:tr>
      <w:tr>
        <w:trPr>
          <w:cantSplit/>
        </w:trPr>
        <w:tc>
          <w:tcPr>
            <w:tcW w:type="dxa" w:w="2952"/>
            <w:vAlign w:val="center"/>
            <w:tcMar>
              <w:top w:w="95" w:type="dxa"/>
              <w:bottom w:w="95" w:type="dxa"/>
              <w:left w:w="100" w:type="dxa"/>
              <w:right w:w="100" w:type="dxa"/>
            </w:tcMar>
            <w:shd w:fill="F4F6F7"/>
          </w:tcPr>
          <w:p>
            <w:pPr>
              <w:pStyle w:val="TableBody"/>
            </w:pPr>
            <w:r>
              <w:t>P committed ответ потерян</w:t>
            </w:r>
          </w:p>
        </w:tc>
        <w:tc>
          <w:tcPr>
            <w:tcW w:type="dxa" w:w="6926"/>
            <w:vAlign w:val="center"/>
            <w:tcMar>
              <w:top w:w="95" w:type="dxa"/>
              <w:bottom w:w="95" w:type="dxa"/>
              <w:left w:w="100" w:type="dxa"/>
              <w:right w:w="100" w:type="dxa"/>
            </w:tcMar>
            <w:shd w:fill="F4F6F7"/>
          </w:tcPr>
          <w:p>
            <w:pPr>
              <w:pStyle w:val="TableBody"/>
            </w:pPr>
            <w:r>
              <w:t>Readback возвращает тот же event и pointer; ни новой выдачи, ни второго debit</w:t>
            </w:r>
          </w:p>
        </w:tc>
      </w:tr>
      <w:tr>
        <w:trPr>
          <w:cantSplit/>
        </w:trPr>
        <w:tc>
          <w:tcPr>
            <w:tcW w:type="dxa" w:w="2952"/>
            <w:vAlign w:val="center"/>
            <w:tcMar>
              <w:top w:w="95" w:type="dxa"/>
              <w:bottom w:w="95" w:type="dxa"/>
              <w:left w:w="100" w:type="dxa"/>
              <w:right w:w="100" w:type="dxa"/>
            </w:tcMar>
            <w:shd w:fill="FFFFFF"/>
          </w:tcPr>
          <w:p>
            <w:pPr>
              <w:pStyle w:val="TableBody"/>
            </w:pPr>
            <w:r>
              <w:t>Отмена C committed до P</w:t>
            </w:r>
          </w:p>
        </w:tc>
        <w:tc>
          <w:tcPr>
            <w:tcW w:type="dxa" w:w="6926"/>
            <w:vAlign w:val="center"/>
            <w:tcMar>
              <w:top w:w="95" w:type="dxa"/>
              <w:bottom w:w="95" w:type="dxa"/>
              <w:left w:w="100" w:type="dxa"/>
              <w:right w:w="100" w:type="dxa"/>
            </w:tcMar>
            <w:shd w:fill="FFFFFF"/>
          </w:tcPr>
          <w:p>
            <w:pPr>
              <w:pStyle w:val="TableBody"/>
            </w:pPr>
            <w:r>
              <w:t>P отказывает</w:t>
            </w:r>
          </w:p>
        </w:tc>
      </w:tr>
      <w:tr>
        <w:trPr>
          <w:cantSplit/>
        </w:trPr>
        <w:tc>
          <w:tcPr>
            <w:tcW w:type="dxa" w:w="2952"/>
            <w:vAlign w:val="center"/>
            <w:tcMar>
              <w:top w:w="95" w:type="dxa"/>
              <w:bottom w:w="95" w:type="dxa"/>
              <w:left w:w="100" w:type="dxa"/>
              <w:right w:w="100" w:type="dxa"/>
            </w:tcMar>
            <w:shd w:fill="F4F6F7"/>
          </w:tcPr>
          <w:p>
            <w:pPr>
              <w:pStyle w:val="TableBody"/>
            </w:pPr>
            <w:r>
              <w:t>P committed до C</w:t>
            </w:r>
          </w:p>
        </w:tc>
        <w:tc>
          <w:tcPr>
            <w:tcW w:type="dxa" w:w="6926"/>
            <w:vAlign w:val="center"/>
            <w:tcMar>
              <w:top w:w="95" w:type="dxa"/>
              <w:bottom w:w="95" w:type="dxa"/>
              <w:left w:w="100" w:type="dxa"/>
              <w:right w:w="100" w:type="dxa"/>
            </w:tcMar>
            <w:shd w:fill="F4F6F7"/>
          </w:tcPr>
          <w:p>
            <w:pPr>
              <w:pStyle w:val="TableBody"/>
            </w:pPr>
            <w:r>
              <w:t>Историческая выдача сохраняется; новое использование должно увидеть C</w:t>
            </w:r>
          </w:p>
        </w:tc>
      </w:tr>
      <w:tr>
        <w:trPr>
          <w:cantSplit/>
        </w:trPr>
        <w:tc>
          <w:tcPr>
            <w:tcW w:type="dxa" w:w="2952"/>
            <w:vAlign w:val="center"/>
            <w:tcMar>
              <w:top w:w="95" w:type="dxa"/>
              <w:bottom w:w="95" w:type="dxa"/>
              <w:left w:w="100" w:type="dxa"/>
              <w:right w:w="100" w:type="dxa"/>
            </w:tcMar>
            <w:shd w:fill="FFFFFF"/>
          </w:tcPr>
          <w:p>
            <w:pPr>
              <w:pStyle w:val="TableBody"/>
            </w:pPr>
            <w:r>
              <w:t>U или внешний effect имеет потерянный ack</w:t>
            </w:r>
          </w:p>
        </w:tc>
        <w:tc>
          <w:tcPr>
            <w:tcW w:type="dxa" w:w="6926"/>
            <w:vAlign w:val="center"/>
            <w:tcMar>
              <w:top w:w="95" w:type="dxa"/>
              <w:bottom w:w="95" w:type="dxa"/>
              <w:left w:w="100" w:type="dxa"/>
              <w:right w:w="100" w:type="dxa"/>
            </w:tcMar>
            <w:shd w:fill="FFFFFF"/>
          </w:tcPr>
          <w:p>
            <w:pPr>
              <w:pStyle w:val="TableBody"/>
              <w:wordWrap w:val="0"/>
            </w:pPr>
            <w:r>
              <w:rPr>
                <w:rFonts w:ascii="DejaVu Sans Mono" w:hAnsi="DejaVu Sans Mono"/>
                <w:sz w:val="18"/>
              </w:rPr>
              <w:t>effect_unknown</w:t>
            </w:r>
            <w:r>
              <w:t>; тот же provider idempotency key и reconciliation, без blind retry</w:t>
            </w:r>
          </w:p>
        </w:tc>
      </w:tr>
    </w:tbl>
    <w:p>
      <w:pPr>
        <w:spacing w:after="0" w:before="0" w:line="80" w:lineRule="exact"/>
      </w:pPr>
      <w:r>
        <w:rPr>
          <w:sz w:val="8"/>
        </w:rPr>
      </w:r>
    </w:p>
    <w:p>
      <w:pPr/>
      <w:r>
        <w:t>Автоматический GC на первом этапе не нужен. Поздний collector должен учитывать staging reservations, retained references и активные read pins; отсутствие publication row не означает, что blob уже безопасно удалить.</w:t>
      </w:r>
    </w:p>
    <w:p>
      <w:pPr>
        <w:pStyle w:val="Heading1"/>
      </w:pPr>
      <w:bookmarkStart w:id="17" w:name="section_5"/>
      <w:r>
        <w:t>5 Worker scope control rows и полнота</w:t>
      </w:r>
      <w:bookmarkEnd w:id="17"/>
    </w:p>
    <w:p>
      <w:pPr>
        <w:pStyle w:val="Heading2"/>
      </w:pPr>
      <w:bookmarkStart w:id="18" w:name="E02_ARCH_10"/>
      <w:r>
        <w:t>5.1 E02-ARCH-10 Текущий grant для каждой действующей попытки</w:t>
      </w:r>
      <w:bookmarkEnd w:id="18"/>
    </w:p>
    <w:p>
      <w:pPr>
        <w:wordWrap w:val="0"/>
      </w:pPr>
      <w:r>
        <w:t xml:space="preserve">Control выдаёт </w:t>
      </w:r>
      <w:r>
        <w:rPr>
          <w:rFonts w:ascii="DejaVu Sans Mono" w:hAnsi="DejaVu Sans Mono"/>
          <w:sz w:val="19"/>
        </w:rPr>
        <w:t>JobOperationGrant</w:t>
      </w:r>
      <w:r>
        <w:t xml:space="preserve"> для точной операции и purpose. Он содержит deployment, tenant/cell, current job/run, worker, attempt/fence, actor admission, subject/basis, при необходимости source job/context/view, authorization policy/epoch и срок. Исторически completed job не предоставляет lease новой re-entry работе.</w:t>
      </w:r>
    </w:p>
    <w:p>
      <w:pPr/>
      <w:r>
        <w:t>Authenticated actor, represented principal и delegation chain различаются. Grant связывает основание acting-on-behalf-of, issuer/audience, allowed purpose/action и актуальную authorization/revocation revision. Possession старого job proof либо ещё не истёкшая lease не доказывает, что полномочие actor или делегирование всё ещё действуют. В первом минимальном профиле допустим direct actor; непроверенная делегация явно unsupported. Protected E/P/U проверяют текущий actor/delegation state в своём admission domain, а не только факт когда-то успешного login. Для обычного candidate исполнения фиксируется поддержанный существующим owner момент проверки и предел revocation, без незаявленного мгновенного глобального revoke.</w:t>
      </w:r>
    </w:p>
    <w:p>
      <w:pPr>
        <w:wordWrap w:val="0"/>
      </w:pPr>
      <w:r>
        <w:t xml:space="preserve">Переход job: </w:t>
      </w:r>
      <w:r>
        <w:rPr>
          <w:rFonts w:ascii="DejaVu Sans Mono" w:hAnsi="DejaVu Sans Mono"/>
          <w:sz w:val="19"/>
        </w:rPr>
        <w:t>queued → admitted → leased → running → completed|failed|cancelled</w:t>
      </w:r>
      <w:r>
        <w:t>. Retry получает новый attempt и более высокий fence; логическая operation identity и прежняя risk activation сохраняются. Mutating sink атомарно сравнивает fence при изменении, а не только перед вычислением.</w:t>
      </w:r>
    </w:p>
    <w:p>
      <w:pPr/>
      <w:r>
        <w:t>Lease eligibility определяется owner-recorded admission time внутри короткой сериализованной транзакции. Это snapshot-at-admission, без hard-real-time обещания, что fsync закончится до wall-clock deadline. Restart повышает durable owner epoch/fence и аннулирует старые leases. Process-monotonic deadline не переносится через restart. Обратный скачок wall clock не должен продлевать действительность старой попытки.</w:t>
      </w:r>
    </w:p>
    <w:p>
      <w:pPr>
        <w:wordWrap w:val="0"/>
      </w:pPr>
      <w:r>
        <w:t xml:space="preserve">В первом protected profile source и current cell должны совпадать. После reassignment </w:t>
      </w:r>
      <w:r>
        <w:rPr>
          <w:rFonts w:ascii="DejaVu Sans Mono" w:hAnsi="DejaVu Sans Mono"/>
          <w:sz w:val="19"/>
        </w:rPr>
        <w:t>C1→C2</w:t>
      </w:r>
      <w:r>
        <w:t xml:space="preserve"> продолжающаяся protected family и re-entry получают </w:t>
      </w:r>
      <w:r>
        <w:rPr>
          <w:rFonts w:ascii="DejaVu Sans Mono" w:hAnsi="DejaVu Sans Mono"/>
          <w:sz w:val="19"/>
        </w:rPr>
        <w:t>unsupported_cross_cell_continuation</w:t>
      </w:r>
      <w:r>
        <w:t>. Старые account, spend и ownership не переписываются. Независимая candidate работа возможна, но не наследует и не обнуляет прежнюю гарантию. Custody transfer и historical read grants добавляются лишь для реальной необходимости и по отдельному принятому протоколу.</w:t>
      </w:r>
    </w:p>
    <w:p>
      <w:pPr>
        <w:wordWrap w:val="0"/>
      </w:pPr>
      <w:r>
        <w:t xml:space="preserve">R14 уже содержит durable lease, heartbeat и completed-handler fence в исследованном локальном пути. Задача состоит в потреблении этого механизма и закрытии оставшихся seams, а не в повторном изобретении worker custody. Production SearchExit→closeout/promotion bridge остаётся отдельным </w:t>
      </w:r>
      <w:r>
        <w:rPr>
          <w:rFonts w:ascii="DejaVu Sans Mono" w:hAnsi="DejaVu Sans Mono"/>
          <w:sz w:val="19"/>
        </w:rPr>
        <w:t>bridge_missing</w:t>
      </w:r>
      <w:r>
        <w:t>. Completion proof не означает whole-run approval.</w:t>
      </w:r>
    </w:p>
    <w:p>
      <w:pPr>
        <w:pStyle w:val="Heading2"/>
      </w:pPr>
      <w:bookmarkStart w:id="19" w:name="E02_ARCH_11"/>
      <w:r>
        <w:t>5.2 E02-ARCH-11 Immutable owner у control rows</w:t>
      </w:r>
      <w:bookmarkEnd w:id="19"/>
    </w:p>
    <w:p>
      <w:pPr/>
      <w:r>
        <w:t>Новый control row сохраняет tenant, cell, assignment generation, ownership evidence, created-by, created-at и schema version. Tenant приходит из authenticated scope, cell — из принятой registry. Dedup, outward status и lookup по pipeline применяют тот же owner predicate и action permission.</w:t>
      </w:r>
    </w:p>
    <w:p>
      <w:pPr>
        <w:wordWrap w:val="0"/>
      </w:pPr>
      <w:r>
        <w:t xml:space="preserve">Сегодня </w:t>
      </w:r>
      <w:r>
        <w:rPr>
          <w:rFonts w:ascii="DejaVu Sans Mono" w:hAnsi="DejaVu Sans Mono"/>
          <w:sz w:val="19"/>
        </w:rPr>
        <w:t>ControlJobRecord</w:t>
      </w:r>
      <w:r>
        <w:t xml:space="preserve"> в исследованном источнике не содержит persisted tenant/cell fields, а </w:t>
      </w:r>
      <w:r>
        <w:rPr>
          <w:rFonts w:ascii="DejaVu Sans Mono" w:hAnsi="DejaVu Sans Mono"/>
          <w:sz w:val="19"/>
        </w:rPr>
        <w:t>get_job</w:t>
      </w:r>
      <w:r>
        <w:t xml:space="preserve"> и </w:t>
      </w:r>
      <w:r>
        <w:rPr>
          <w:rFonts w:ascii="DejaVu Sans Mono" w:hAnsi="DejaVu Sans Mono"/>
          <w:sz w:val="19"/>
        </w:rPr>
        <w:t>get_job_by_pipeline</w:t>
      </w:r>
      <w:r>
        <w:t xml:space="preserve"> выбирают по job/pipeline ID. Существующий execution admission сам по себе не доказывает outward status isolation. Это bounded source observation, не утверждение о leak при любой реальной proxy configuration.</w:t>
      </w:r>
    </w:p>
    <w:p>
      <w:pPr/>
      <w:r>
        <w:t>Disposable control metadata можно пересоздать. Для retained rows нельзя вывести creation owner из сегодняшней registry. Unknown historical owner остаётся недоступным до evidence-backed disposition; reassignment не переписывает историю и не расширяет read до tenant-only. Публичные foreign/missing/unknown-owner ответы должны иметь одинаковую категорию, а private audit может различать причины.</w:t>
      </w:r>
    </w:p>
    <w:p>
      <w:pPr>
        <w:pStyle w:val="Heading2"/>
      </w:pPr>
      <w:bookmarkStart w:id="20" w:name="E02_ARCH_12"/>
      <w:r>
        <w:t>5.3 E02-ARCH-12 Полнота это свойство query а не размера страницы</w:t>
      </w:r>
      <w:bookmarkEnd w:id="20"/>
    </w:p>
    <w:p>
      <w:pPr>
        <w:wordWrap w:val="0"/>
      </w:pPr>
      <w:r>
        <w:rPr>
          <w:rFonts w:ascii="DejaVu Sans Mono" w:hAnsi="DejaVu Sans Mono"/>
          <w:sz w:val="19"/>
        </w:rPr>
        <w:t>QueryScope</w:t>
      </w:r>
      <w:r>
        <w:t xml:space="preserve"> связывает tenant/cell, stream, filters digest, population definition, ordering schema и authorization version. </w:t>
      </w:r>
      <w:r>
        <w:rPr>
          <w:rFonts w:ascii="DejaVu Sans Mono" w:hAnsi="DejaVu Sans Mono"/>
          <w:sz w:val="19"/>
        </w:rPr>
        <w:t>ScanCertificate</w:t>
      </w:r>
      <w:r>
        <w:t xml:space="preserve"> фиксирует snapshot либо committed prefix, high-water, cursors, continuation, counts, stop reason, retention floor и owner version.</w:t>
      </w:r>
    </w:p>
    <w:p>
      <w:pPr>
        <w:wordWrap w:val="0"/>
      </w:pPr>
      <w:r>
        <w:t xml:space="preserve">Состояния: </w:t>
      </w:r>
      <w:r>
        <w:rPr>
          <w:rFonts w:ascii="DejaVu Sans Mono" w:hAnsi="DejaVu Sans Mono"/>
          <w:sz w:val="19"/>
        </w:rPr>
        <w:t>complete_as_of</w:t>
      </w:r>
      <w:r>
        <w:t xml:space="preserve">, </w:t>
      </w:r>
      <w:r>
        <w:rPr>
          <w:rFonts w:ascii="DejaVu Sans Mono" w:hAnsi="DejaVu Sans Mono"/>
          <w:sz w:val="19"/>
        </w:rPr>
        <w:t>partial_budget</w:t>
      </w:r>
      <w:r>
        <w:t xml:space="preserve">, </w:t>
      </w:r>
      <w:r>
        <w:rPr>
          <w:rFonts w:ascii="DejaVu Sans Mono" w:hAnsi="DejaVu Sans Mono"/>
          <w:sz w:val="19"/>
        </w:rPr>
        <w:t>partial_interrupted</w:t>
      </w:r>
      <w:r>
        <w:t xml:space="preserve">, </w:t>
      </w:r>
      <w:r>
        <w:rPr>
          <w:rFonts w:ascii="DejaVu Sans Mono" w:hAnsi="DejaVu Sans Mono"/>
          <w:sz w:val="19"/>
        </w:rPr>
        <w:t>snapshot_expired</w:t>
      </w:r>
      <w:r>
        <w:t xml:space="preserve">, </w:t>
      </w:r>
      <w:r>
        <w:rPr>
          <w:rFonts w:ascii="DejaVu Sans Mono" w:hAnsi="DejaVu Sans Mono"/>
          <w:sz w:val="19"/>
        </w:rPr>
        <w:t>retention_gap</w:t>
      </w:r>
      <w:r>
        <w:t xml:space="preserve">, </w:t>
      </w:r>
      <w:r>
        <w:rPr>
          <w:rFonts w:ascii="DejaVu Sans Mono" w:hAnsi="DejaVu Sans Mono"/>
          <w:sz w:val="19"/>
        </w:rPr>
        <w:t>scope_changed</w:t>
      </w:r>
      <w:r>
        <w:t>. Cursor привязан к query и cut. Пустая страница при наличии continuation не означает конец. Числовой максимальный row ID достаточен только при доказанном committed-prefix свойстве: поздний commit меньшего ID не должен попасть за уже прочитанный cut. Иначе нужен стабильный revision snapshot [В6].</w:t>
      </w:r>
    </w:p>
    <w:p>
      <w:pPr>
        <w:wordWrap w:val="0"/>
      </w:pPr>
      <w:r>
        <w:t xml:space="preserve">Даже полное перечисление bytes недостаточно для absence/uniqueness, если потенциально релевантный record не удалось интерпретировать или проверить. RouteLoop обязан пройти до cut: второй completed terminal в поздней странице делает closure ambiguous. </w:t>
      </w:r>
      <w:r>
        <w:rPr>
          <w:rFonts w:ascii="DejaVu Sans Mono" w:hAnsi="DejaVu Sans Mono"/>
          <w:sz w:val="19"/>
        </w:rPr>
        <w:t>VerifiedAcquisitionRouteClosure</w:t>
      </w:r>
      <w:r>
        <w:t xml:space="preserve"> отсутствует при incomplete scan. CycleBoard может показать точно подтверждённое отдельное движение с заметным partial status.</w:t>
      </w:r>
    </w:p>
    <w:p>
      <w:pPr>
        <w:wordWrap w:val="0"/>
      </w:pPr>
      <w:r>
        <w:rPr>
          <w:rFonts w:ascii="DejaVu Sans Mono" w:hAnsi="DejaVu Sans Mono"/>
          <w:sz w:val="19"/>
        </w:rPr>
        <w:t>complete_as_of</w:t>
      </w:r>
      <w:r>
        <w:t xml:space="preserve"> не равно current-now. Для текущего использования closure дополнительно проверяется unchanged relevant head/generation на admission boundary либо опирается на доказанный unique-terminal invariant.</w:t>
      </w:r>
    </w:p>
    <w:p>
      <w:pPr>
        <w:wordWrap w:val="0"/>
      </w:pPr>
      <w:r>
        <w:t xml:space="preserve">Текущий </w:t>
      </w:r>
      <w:r>
        <w:rPr>
          <w:rFonts w:ascii="DejaVu Sans Mono" w:hAnsi="DejaVu Sans Mono"/>
          <w:sz w:val="19"/>
        </w:rPr>
        <w:t>list_diagnostic_events</w:t>
      </w:r>
      <w:r>
        <w:t xml:space="preserve"> ограничен list с default 500 и clamp 1000 без completeness result. Исправление — owner pagination/completeness contract, а не увеличение cap. FWC-01/R15 partial presentation и разрешение protected absence/uniqueness являются разными decisions.</w:t>
      </w:r>
    </w:p>
    <w:p>
      <w:pPr>
        <w:pStyle w:val="Heading1"/>
      </w:pPr>
      <w:bookmarkStart w:id="21" w:name="section_6"/>
      <w:r>
        <w:t>6 Научные величины и доказательства</w:t>
      </w:r>
      <w:bookmarkEnd w:id="21"/>
    </w:p>
    <w:p>
      <w:pPr>
        <w:pStyle w:val="Heading2"/>
      </w:pPr>
      <w:bookmarkStart w:id="22" w:name="E02_ARCH_13"/>
      <w:r>
        <w:t>6.1 E02-ARCH-13 Identification point interval и robust bound</w:t>
      </w:r>
      <w:bookmarkEnd w:id="22"/>
    </w:p>
    <w:p>
      <w:pPr/>
      <w:r>
        <w:t>Нужно сохранить несколько родственных, но самостоятельных native components.</w:t>
      </w:r>
    </w:p>
    <w:p>
      <w:pPr>
        <w:wordWrap w:val="0"/>
      </w:pPr>
      <w:r>
        <w:rPr>
          <w:b/>
        </w:rPr>
        <w:t>IdentificationResult:</w:t>
      </w:r>
      <w:r>
        <w:t xml:space="preserve"> target, assumptions ref, identification argument, статус </w:t>
      </w:r>
      <w:r>
        <w:rPr>
          <w:rFonts w:ascii="DejaVu Sans Mono" w:hAnsi="DejaVu Sans Mono"/>
          <w:sz w:val="19"/>
        </w:rPr>
        <w:t>point_identified|set_identified|not_established|assumption_violated</w:t>
      </w:r>
      <w:r>
        <w:t>. При наличии оценки добавляется PointEstimate или существующее native ValueOuterSet с ordered coordinates и методом. Математическая identification возможна без конечной выборочной оценки.</w:t>
      </w:r>
    </w:p>
    <w:p>
      <w:pPr>
        <w:wordWrap w:val="0"/>
      </w:pPr>
      <w:r>
        <w:rPr>
          <w:b/>
        </w:rPr>
        <w:t>PointSummary:</w:t>
      </w:r>
      <w:r>
        <w:t xml:space="preserve"> target, value, functional (</w:t>
      </w:r>
      <w:r>
        <w:rPr>
          <w:rFonts w:ascii="DejaVu Sans Mono" w:hAnsi="DejaVu Sans Mono"/>
          <w:sz w:val="19"/>
        </w:rPr>
        <w:t>posterior_mean</w:t>
      </w:r>
      <w:r>
        <w:t xml:space="preserve">, </w:t>
      </w:r>
      <w:r>
        <w:rPr>
          <w:rFonts w:ascii="DejaVu Sans Mono" w:hAnsi="DejaVu Sans Mono"/>
          <w:sz w:val="19"/>
        </w:rPr>
        <w:t>posterior_median</w:t>
      </w:r>
      <w:r>
        <w:t xml:space="preserve">, </w:t>
      </w:r>
      <w:r>
        <w:rPr>
          <w:rFonts w:ascii="DejaVu Sans Mono" w:hAnsi="DejaVu Sans Mono"/>
          <w:sz w:val="19"/>
        </w:rPr>
        <w:t>posterior_mode</w:t>
      </w:r>
      <w:r>
        <w:t xml:space="preserve">, </w:t>
      </w:r>
      <w:r>
        <w:rPr>
          <w:rFonts w:ascii="DejaVu Sans Mono" w:hAnsi="DejaVu Sans Mono"/>
          <w:sz w:val="19"/>
        </w:rPr>
        <w:t>plug_in</w:t>
      </w:r>
      <w:r>
        <w:t xml:space="preserve"> либо именованный метод), method/source refs.</w:t>
      </w:r>
    </w:p>
    <w:p>
      <w:pPr/>
      <w:r>
        <w:rPr>
          <w:b/>
        </w:rPr>
        <w:t>IntervalSummary:</w:t>
      </w:r>
      <w:r>
        <w:t xml:space="preserve"> target, endpoints/closure, method/source и явный variant:</w:t>
      </w:r>
    </w:p>
    <w:p>
      <w:pPr>
        <w:pStyle w:val="ListBullet"/>
      </w:pPr>
      <w:r>
        <w:t>confidence: nominal level, coverage target, sampling design, guarantee scope</w:t>
      </w:r>
    </w:p>
    <w:p>
      <w:pPr>
        <w:pStyle w:val="ListBullet"/>
      </w:pPr>
      <w:r>
        <w:t>credible: posterior mass, construction, posterior ref</w:t>
      </w:r>
    </w:p>
    <w:p>
      <w:pPr>
        <w:pStyle w:val="ListBullet"/>
      </w:pPr>
      <w:r>
        <w:t>prediction: predictive target, probability/coverage kind и construction</w:t>
      </w:r>
    </w:p>
    <w:p>
      <w:pPr>
        <w:pStyle w:val="ListBullet"/>
      </w:pPr>
      <w:r>
        <w:t>heuristic: construction и limitations без выдуманного confidence level</w:t>
      </w:r>
    </w:p>
    <w:p>
      <w:pPr/>
      <w:r>
        <w:t>Coverage target различает scalar parameter, whole identified set и simultaneous vector/path. Разрывная region не заменяется молча её convex hull. Robust bound содержит ambiguity set, bound method, native bounds, relation и validity scope; вероятность без отдельной статистической конструкции ему не присваивается [В7].</w:t>
      </w:r>
    </w:p>
    <w:p>
      <w:pPr>
        <w:wordWrap w:val="0"/>
      </w:pPr>
      <w:r>
        <w:t xml:space="preserve">Point identification не означает нулевую sampling uncertainty. Точечный summary не обязан лежать внутри interval: при вероятности 0.99 в нуле и 0.01 в 1000 mean равен 10, а equal-tail 95% interval при стандартном left quantile равен </w:t>
      </w:r>
      <w:r>
        <w:rPr>
          <w:rFonts w:ascii="DejaVu Sans Mono" w:hAnsi="DejaVu Sans Mono"/>
          <w:sz w:val="19"/>
        </w:rPr>
        <w:t>[0,0]</w:t>
      </w:r>
      <w:r>
        <w:t>. Mean после нелинейной трансформации нужно пересчитать или назвать approximation. Неопределённость не кодируется NaN, Infinity либо необоснованной бесконечной границей.</w:t>
      </w:r>
    </w:p>
    <w:p>
      <w:pPr/>
      <w:r>
        <w:t>Unknown interval semantics сохраняет исходный interval как uninterpreted evidence. Это блокирует только потребителя, требующего соответствующий смысл, а не point-only исследование. Нельзя выводить identification class из фиксированного absolute epsilon, меняющего смысл при смене единиц.</w:t>
      </w:r>
    </w:p>
    <w:p>
      <w:pPr>
        <w:pStyle w:val="Heading2"/>
      </w:pPr>
      <w:bookmarkStart w:id="23" w:name="E02_ARCH_14"/>
      <w:r>
        <w:t>6.2 E02-ARCH-14 Joint law и failed-draw mass</w:t>
      </w:r>
      <w:bookmarkEnd w:id="23"/>
    </w:p>
    <w:p>
      <w:pPr>
        <w:wordWrap w:val="0"/>
      </w:pPr>
      <w:r>
        <w:t>Joint evidence хранит law kind (</w:t>
      </w:r>
      <w:r>
        <w:rPr>
          <w:rFonts w:ascii="DejaVu Sans Mono" w:hAnsi="DejaVu Sans Mono"/>
          <w:sz w:val="19"/>
        </w:rPr>
        <w:t>posterior</w:t>
      </w:r>
      <w:r>
        <w:t xml:space="preserve">, </w:t>
      </w:r>
      <w:r>
        <w:rPr>
          <w:rFonts w:ascii="DejaVu Sans Mono" w:hAnsi="DejaVu Sans Mono"/>
          <w:sz w:val="19"/>
        </w:rPr>
        <w:t>prior</w:t>
      </w:r>
      <w:r>
        <w:t xml:space="preserve">, </w:t>
      </w:r>
      <w:r>
        <w:rPr>
          <w:rFonts w:ascii="DejaVu Sans Mono" w:hAnsi="DejaVu Sans Mono"/>
          <w:sz w:val="19"/>
        </w:rPr>
        <w:t>bootstrap</w:t>
      </w:r>
      <w:r>
        <w:t xml:space="preserve">, </w:t>
      </w:r>
      <w:r>
        <w:rPr>
          <w:rFonts w:ascii="DejaVu Sans Mono" w:hAnsi="DejaVu Sans Mono"/>
          <w:sz w:val="19"/>
        </w:rPr>
        <w:t>sampling_distribution</w:t>
      </w:r>
      <w:r>
        <w:t xml:space="preserve">, </w:t>
      </w:r>
      <w:r>
        <w:rPr>
          <w:rFonts w:ascii="DejaVu Sans Mono" w:hAnsi="DejaVu Sans Mono"/>
          <w:sz w:val="19"/>
        </w:rPr>
        <w:t>scenario_ensemble</w:t>
      </w:r>
      <w:r>
        <w:t>), ordered coordinates/units, exact payload, shape/dtype/encoding, draw IDs/order, chain/iteration при необходимости, weights, target basis, producer run и diagnostics. Digest включает descriptor и bytes вместе с pairing и selected view.</w:t>
      </w:r>
    </w:p>
    <w:p>
      <w:pPr>
        <w:wordWrap w:val="0"/>
      </w:pPr>
      <w:r>
        <w:t xml:space="preserve">Одинаковые marginal summaries не устанавливают joint law. Две равновесные выборки </w:t>
      </w:r>
      <w:r>
        <w:rPr>
          <w:rFonts w:ascii="DejaVu Sans Mono" w:hAnsi="DejaVu Sans Mono"/>
          <w:sz w:val="19"/>
        </w:rPr>
        <w:t>(-1,-1),(1,1)</w:t>
      </w:r>
      <w:r>
        <w:t xml:space="preserve"> и </w:t>
      </w:r>
      <w:r>
        <w:rPr>
          <w:rFonts w:ascii="DejaVu Sans Mono" w:hAnsi="DejaVu Sans Mono"/>
          <w:sz w:val="19"/>
        </w:rPr>
        <w:t>(-1,1),(1,-1)</w:t>
      </w:r>
      <w:r>
        <w:t xml:space="preserve"> имеют те же marginals, но variance суммы равна соответственно 4 и 0. Запрещены независимая сортировка колонок, удаление разных строк по координатам и восстановление зависимости по seed или произвольному </w:t>
      </w:r>
      <w:r>
        <w:rPr>
          <w:rFonts w:ascii="DejaVu Sans Mono" w:hAnsi="DejaVu Sans Mono"/>
          <w:sz w:val="19"/>
        </w:rPr>
        <w:t>joint_sample_id</w:t>
      </w:r>
      <w:r>
        <w:t>. Covariance достаточна для допустимых moment consumers, но не определяет общий sampler [В8].</w:t>
      </w:r>
    </w:p>
    <w:p>
      <w:pPr>
        <w:wordWrap w:val="0"/>
      </w:pPr>
      <w:r>
        <w:rPr>
          <w:rFonts w:ascii="DejaVu Sans Mono" w:hAnsi="DejaVu Sans Mono"/>
          <w:sz w:val="19"/>
        </w:rPr>
        <w:t>EvaluationLedger</w:t>
      </w:r>
      <w:r>
        <w:t xml:space="preserve"> различает planned/attempted/completed logical draws и execution attempts. У каждого logical draw есть input, weight, status, output/failure и attempts. Статусы: success, model-domain failure, numerical failure, infrastructure failure, cancelled, not-attempted. Retry того же input не добавляет статистическую массу; replacement draw имеет новый logical ID.</w:t>
      </w:r>
    </w:p>
    <w:p>
      <w:pPr>
        <w:wordWrap w:val="0"/>
      </w:pPr>
      <w:r>
        <w:t xml:space="preserve">Default policy для unconditional result — require complete. Иные честные варианты: explicitly conditional estimand либо научно обоснованная correction/bound. Если evaluator проходит только на </w:t>
      </w:r>
      <w:r>
        <w:rPr>
          <w:rFonts w:ascii="DejaVu Sans Mono" w:hAnsi="DejaVu Sans Mono"/>
          <w:sz w:val="19"/>
        </w:rPr>
        <w:t>X=-1</w:t>
      </w:r>
      <w:r>
        <w:t xml:space="preserve"> при равновероятном </w:t>
      </w:r>
      <w:r>
        <w:rPr>
          <w:rFonts w:ascii="DejaVu Sans Mono" w:hAnsi="DejaVu Sans Mono"/>
          <w:sz w:val="19"/>
        </w:rPr>
        <w:t>X=±1</w:t>
      </w:r>
      <w:r>
        <w:t xml:space="preserve">, success-only mean </w:t>
      </w:r>
      <w:r>
        <w:rPr>
          <w:rFonts w:ascii="DejaVu Sans Mono" w:hAnsi="DejaVu Sans Mono"/>
          <w:sz w:val="19"/>
        </w:rPr>
        <w:t>-1</w:t>
      </w:r>
      <w:r>
        <w:t xml:space="preserve"> не заменяет unconditional mean </w:t>
      </w:r>
      <w:r>
        <w:rPr>
          <w:rFonts w:ascii="DejaVu Sans Mono" w:hAnsi="DejaVu Sans Mono"/>
          <w:sz w:val="19"/>
        </w:rPr>
        <w:t>0</w:t>
      </w:r>
      <w:r>
        <w:t>. Failure-to-zero и resample-until-success без смены estimand запрещены. Ordinary MCMC rejection с повтором прежнего состояния является валидным draw, а не evaluation failure.</w:t>
      </w:r>
    </w:p>
    <w:p>
      <w:pPr/>
      <w:r>
        <w:t>Положительная unresolved failed weight удерживает соответствующее unconditional distribution claim. Полностью неуспешный batch остаётся информативным failure report. Point, robust bound или иное независимо обоснованное свидетельство не уничтожается автоматически вместе с недоступным joint-law claim.</w:t>
      </w:r>
    </w:p>
    <w:p>
      <w:pPr>
        <w:pStyle w:val="Heading2"/>
      </w:pPr>
      <w:bookmarkStart w:id="24" w:name="E02_ARCH_15"/>
      <w:r>
        <w:t>6.3 E02-ARCH-15 Calibration reports и типизированные порты</w:t>
      </w:r>
      <w:bookmarkEnd w:id="24"/>
    </w:p>
    <w:p>
      <w:pPr>
        <w:wordWrap w:val="0"/>
      </w:pPr>
      <w:r>
        <w:t xml:space="preserve">Существующий ограниченный B197 route сохраняется. Отчёт calibration должен владеть ordered coordinates, parameter values, covariance basis, provenance и field projection. Для affine mapping </w:t>
      </w:r>
      <w:r>
        <w:rPr>
          <w:rFonts w:ascii="DejaVu Sans Mono" w:hAnsi="DejaVu Sans Mono"/>
          <w:sz w:val="19"/>
        </w:rPr>
        <w:t>x=Aθ+b</w:t>
      </w:r>
      <w:r>
        <w:t xml:space="preserve"> covariance равна </w:t>
      </w:r>
      <w:r>
        <w:rPr>
          <w:rFonts w:ascii="DejaVu Sans Mono" w:hAnsi="DejaVu Sans Mono"/>
          <w:sz w:val="19"/>
        </w:rPr>
        <w:t>AΣθAᵀ</w:t>
      </w:r>
      <w:r>
        <w:t xml:space="preserve">. Для нелинейного mapping </w:t>
      </w:r>
      <w:r>
        <w:rPr>
          <w:rFonts w:ascii="DejaVu Sans Mono" w:hAnsi="DejaVu Sans Mono"/>
          <w:sz w:val="19"/>
        </w:rPr>
        <w:t>JΣθJᵀ</w:t>
      </w:r>
      <w:r>
        <w:t xml:space="preserve"> допускается только как явно локальная approximation с точкой и методом derivative.</w:t>
      </w:r>
    </w:p>
    <w:p>
      <w:pPr>
        <w:wordWrap w:val="0"/>
      </w:pPr>
      <w:r>
        <w:t xml:space="preserve">Ties и singular covariance валидны, если модель их требует. При </w:t>
      </w:r>
      <w:r>
        <w:rPr>
          <w:rFonts w:ascii="DejaVu Sans Mono" w:hAnsi="DejaVu Sans Mono"/>
          <w:sz w:val="19"/>
        </w:rPr>
        <w:t>x1=x2=θ</w:t>
      </w:r>
      <w:r>
        <w:t xml:space="preserve"> и </w:t>
      </w:r>
      <w:r>
        <w:rPr>
          <w:rFonts w:ascii="DejaVu Sans Mono" w:hAnsi="DejaVu Sans Mono"/>
          <w:sz w:val="19"/>
        </w:rPr>
        <w:t>Var(θ)=0.0025</w:t>
      </w:r>
      <w:r>
        <w:t xml:space="preserve"> все элементы covariance равны 0.0025: variance разности 0, суммы 0.01. Diagonal reconstruction даёт неверный смысл. Проверки symmetry/PSD должны быть scale-aware; materially indefinite матрица отклоняется, произвольный jitter не исправляет научное свидетельство. Inverse Hessian сам по себе не доказывает calibrated coverage.</w:t>
      </w:r>
    </w:p>
    <w:p>
      <w:pPr/>
      <w:r>
        <w:t>Порты различаются явно:</w:t>
      </w:r>
    </w:p>
    <w:p>
      <w:pPr>
        <w:pStyle w:val="ListBullet"/>
        <w:wordWrap w:val="0"/>
      </w:pPr>
      <w:r>
        <w:rPr>
          <w:rFonts w:ascii="DejaVu Sans Mono" w:hAnsi="DejaVu Sans Mono"/>
          <w:sz w:val="19"/>
        </w:rPr>
        <w:t>foundry_calibration_report_ref</w:t>
      </w:r>
      <w:r>
        <w:t xml:space="preserve">: kind </w:t>
      </w:r>
      <w:r>
        <w:rPr>
          <w:rFonts w:ascii="DejaVu Sans Mono" w:hAnsi="DejaVu Sans Mono"/>
          <w:sz w:val="19"/>
        </w:rPr>
        <w:t>foundry.calibration_report</w:t>
      </w:r>
      <w:r>
        <w:t xml:space="preserve">, schema </w:t>
      </w:r>
      <w:r>
        <w:rPr>
          <w:rFonts w:ascii="DejaVu Sans Mono" w:hAnsi="DejaVu Sans Mono"/>
          <w:sz w:val="19"/>
        </w:rPr>
        <w:t>polisyos.foundry.CalibrationReport@2.0</w:t>
      </w:r>
    </w:p>
    <w:p>
      <w:pPr>
        <w:pStyle w:val="ListBullet"/>
        <w:wordWrap w:val="0"/>
      </w:pPr>
      <w:r>
        <w:rPr>
          <w:rFonts w:ascii="DejaVu Sans Mono" w:hAnsi="DejaVu Sans Mono"/>
          <w:sz w:val="19"/>
        </w:rPr>
        <w:t>funnel_calibration_report_ref</w:t>
      </w:r>
      <w:r>
        <w:t xml:space="preserve">: kind </w:t>
      </w:r>
      <w:r>
        <w:rPr>
          <w:rFonts w:ascii="DejaVu Sans Mono" w:hAnsi="DejaVu Sans Mono"/>
          <w:sz w:val="19"/>
        </w:rPr>
        <w:t>scientist.search.calibration_report</w:t>
      </w:r>
      <w:r>
        <w:t xml:space="preserve">, schema </w:t>
      </w:r>
      <w:r>
        <w:rPr>
          <w:rFonts w:ascii="DejaVu Sans Mono" w:hAnsi="DejaVu Sans Mono"/>
          <w:sz w:val="19"/>
        </w:rPr>
        <w:t>polisyos.scientist.search.FunnelCalibrationReport@1.0</w:t>
      </w:r>
    </w:p>
    <w:p>
      <w:pPr>
        <w:wordWrap w:val="0"/>
      </w:pPr>
      <w:r>
        <w:t xml:space="preserve">Loader проверяет role, persisted kind/schema, target/model/source basis и нужное содержимое. Wrong kind — </w:t>
      </w:r>
      <w:r>
        <w:rPr>
          <w:rFonts w:ascii="DejaVu Sans Mono" w:hAnsi="DejaVu Sans Mono"/>
          <w:sz w:val="19"/>
        </w:rPr>
        <w:t>report_kind_mismatch</w:t>
      </w:r>
      <w:r>
        <w:t>, а не missing report и не попытка другого parser по набору optional fields. Явная conversion создаёт новый report с указанием потери информации.</w:t>
      </w:r>
    </w:p>
    <w:p>
      <w:pPr/>
      <w:r>
        <w:t>B194 требует реального served evaluator и failure-aware result; B197 требует configured producer и typed consumers. Наличие внутренней функции не устанавливает полный served path. Отдельный B201/B202→DS16 edge не считается принятым только потому, что темы связаны.</w:t>
      </w:r>
    </w:p>
    <w:p>
      <w:pPr>
        <w:pStyle w:val="Heading2"/>
      </w:pPr>
      <w:bookmarkStart w:id="25" w:name="E02_ARCH_38"/>
      <w:r>
        <w:t>6.4 E02-ARCH-38 SIM03 estimand и factual evidence</w:t>
      </w:r>
      <w:bookmarkEnd w:id="25"/>
    </w:p>
    <w:p>
      <w:pPr>
        <w:wordWrap w:val="0"/>
      </w:pPr>
      <w:r>
        <w:t xml:space="preserve">SIM-03/B19 самостоятельный вопрос N5, не дубликат backtesting B169. Рекомендую owner-native </w:t>
      </w:r>
      <w:r>
        <w:rPr>
          <w:rFonts w:ascii="DejaVu Sans Mono" w:hAnsi="DejaVu Sans Mono"/>
          <w:sz w:val="19"/>
        </w:rPr>
        <w:t>SimulationEstimand</w:t>
      </w:r>
      <w:r>
        <w:t xml:space="preserve"> union: </w:t>
      </w:r>
      <w:r>
        <w:rPr>
          <w:rFonts w:ascii="DejaVu Sans Mono" w:hAnsi="DejaVu Sans Mono"/>
          <w:sz w:val="19"/>
        </w:rPr>
        <w:t>outcome_level</w:t>
      </w:r>
      <w:r>
        <w:t xml:space="preserve">, </w:t>
      </w:r>
      <w:r>
        <w:rPr>
          <w:rFonts w:ascii="DejaVu Sans Mono" w:hAnsi="DejaVu Sans Mono"/>
          <w:sz w:val="19"/>
        </w:rPr>
        <w:t>scenario_contrast</w:t>
      </w:r>
      <w:r>
        <w:t xml:space="preserve">, </w:t>
      </w:r>
      <w:r>
        <w:rPr>
          <w:rFonts w:ascii="DejaVu Sans Mono" w:hAnsi="DejaVu Sans Mono"/>
          <w:sz w:val="19"/>
        </w:rPr>
        <w:t>factual_counterfactual</w:t>
      </w:r>
      <w:r>
        <w:t>. Если действующие native ports уже разделяют операции, этого достаточно; создавать одновременно union и новые operations не нужно.</w:t>
      </w:r>
    </w:p>
    <w:p>
      <w:pPr/>
      <w:r>
        <w:t>Outcome level связывает один scenario, outcome/functional, population, horizon/time, unit и model/basis, не требуя выдуманного baseline. Scenario contrast связывает ordered treatment/comparator, difference/ratio либо иной functional, comparison protocol и pairing/coupling. Factual-counterfactual дополнительно требует отдельный factual-evidence ref, structural model/inference и conditioning/abduction specification. Comparator и factual evidence не один и тот же объект. Explicit empty factual evidence отличается от absent/not-supplied; наличие пустого dictionary не выбирает estimand.</w:t>
      </w:r>
    </w:p>
    <w:p>
      <w:pPr>
        <w:wordWrap w:val="0"/>
      </w:pPr>
      <w:r>
        <w:t xml:space="preserve">Равные scenarios дают точный ноль при вычитании того же результата либо при обоснованной pathwise coupling. Две независимые stochastic simulations равных scenarios могут дать ненулевую оценку contrast с MC error. Ни точный, ни оценённый ноль сам по себе не доказывает causal identification. Смена comparator меняет contrast, не переписывая factual evidence. Ratio с нулевым denominator следует domain rule, а не arbitrary epsilon. Индивидуальный counterfactual, population intervention effect и scenario arithmetic нельзя подменять друг другом. Ambiguous old result остаётся </w:t>
      </w:r>
      <w:r>
        <w:rPr>
          <w:rFonts w:ascii="DejaVu Sans Mono" w:hAnsi="DejaVu Sans Mono"/>
          <w:sz w:val="19"/>
        </w:rPr>
        <w:t>estimand_not_established</w:t>
      </w:r>
      <w:r>
        <w:t>; новые disposable requests пересоздаются по известному purpose.</w:t>
      </w:r>
    </w:p>
    <w:p>
      <w:pPr>
        <w:pStyle w:val="Heading2"/>
      </w:pPr>
      <w:bookmarkStart w:id="26" w:name="E02_ARCH_39"/>
      <w:r>
        <w:t>6.5 E02-ARCH-39 SIM03 computational precision</w:t>
      </w:r>
      <w:bookmarkEnd w:id="26"/>
    </w:p>
    <w:p>
      <w:pPr/>
      <w:r>
        <w:t>SIM-03/B21 определяет N5 replication design и Monte Carlo error; B170 определяет число outer historical executions. Иерархия сохраняется: inner draws, chain/stream/replicate, outer experiment и execution attempts не суммируются как одни samples.</w:t>
      </w:r>
    </w:p>
    <w:p>
      <w:pPr>
        <w:wordWrap w:val="0"/>
      </w:pPr>
      <w:r>
        <w:rPr>
          <w:rFonts w:ascii="DejaVu Sans Mono" w:hAnsi="DejaVu Sans Mono"/>
          <w:sz w:val="19"/>
        </w:rPr>
        <w:t>ReplicationDesign</w:t>
      </w:r>
      <w:r>
        <w:t xml:space="preserve"> задаёт requested count, unit/hierarchy, supported method (</w:t>
      </w:r>
      <w:r>
        <w:rPr>
          <w:rFonts w:ascii="DejaVu Sans Mono" w:hAnsi="DejaVu Sans Mono"/>
          <w:sz w:val="19"/>
        </w:rPr>
        <w:t>iid</w:t>
      </w:r>
      <w:r>
        <w:t xml:space="preserve">, </w:t>
      </w:r>
      <w:r>
        <w:rPr>
          <w:rFonts w:ascii="DejaVu Sans Mono" w:hAnsi="DejaVu Sans Mono"/>
          <w:sz w:val="19"/>
        </w:rPr>
        <w:t>paired</w:t>
      </w:r>
      <w:r>
        <w:t xml:space="preserve">, </w:t>
      </w:r>
      <w:r>
        <w:rPr>
          <w:rFonts w:ascii="DejaVu Sans Mono" w:hAnsi="DejaVu Sans Mono"/>
          <w:sz w:val="19"/>
        </w:rPr>
        <w:t>mcmc</w:t>
      </w:r>
      <w:r>
        <w:t xml:space="preserve">, </w:t>
      </w:r>
      <w:r>
        <w:rPr>
          <w:rFonts w:ascii="DejaVu Sans Mono" w:hAnsi="DejaVu Sans Mono"/>
          <w:sz w:val="19"/>
        </w:rPr>
        <w:t>randomized_qmc</w:t>
      </w:r>
      <w:r>
        <w:t xml:space="preserve">, </w:t>
      </w:r>
      <w:r>
        <w:rPr>
          <w:rFonts w:ascii="DejaVu Sans Mono" w:hAnsi="DejaVu Sans Mono"/>
          <w:sz w:val="19"/>
        </w:rPr>
        <w:t>deterministic</w:t>
      </w:r>
      <w:r>
        <w:t xml:space="preserve"> либо иной явный), RNG family/version/stream derivation, actual IDs, pairing и stopping/budget rule. Execution ledger отражает attempted/completed/valid и failures по outcome/time step, а не только global count. Seed declaration не доказывает выполнение, уникальные integer seeds не доказывают independence.</w:t>
      </w:r>
    </w:p>
    <w:p>
      <w:pPr>
        <w:wordWrap w:val="0"/>
      </w:pPr>
      <w:r>
        <w:rPr>
          <w:rFonts w:ascii="DejaVu Sans Mono" w:hAnsi="DejaVu Sans Mono"/>
          <w:sz w:val="19"/>
        </w:rPr>
        <w:t>ComputationPrecision</w:t>
      </w:r>
      <w:r>
        <w:t xml:space="preserve"> относится к конкретному outcome, horizon coordinate и functional: </w:t>
      </w:r>
      <w:r>
        <w:rPr>
          <w:rFonts w:ascii="DejaVu Sans Mono" w:hAnsi="DejaVu Sans Mono"/>
          <w:sz w:val="19"/>
        </w:rPr>
        <w:t>estimated|unestimated|not_applicable|invalid</w:t>
      </w:r>
      <w:r>
        <w:t xml:space="preserve">, величина MCSE или именованная numerical error, units, method, count/effective information и diagnostics. World/posterior variability хранится отдельно. Для IID mean с конечной variance и n≥2 usual estimate — sample SD/√n. Для paired contrast используется SD внутрипарных differences/√числа valid pairs. Для MCMC нужен chain-aware functional-specific MCSE и diagnostics, а не raw n. Randomized QMC использует независимые randomizations по своему методу. Deterministic computation имеет MCSE </w:t>
      </w:r>
      <w:r>
        <w:rPr>
          <w:rFonts w:ascii="DejaVu Sans Mono" w:hAnsi="DejaVu Sans Mono"/>
          <w:sz w:val="19"/>
        </w:rPr>
        <w:t>not_applicable</w:t>
      </w:r>
      <w:r>
        <w:t xml:space="preserve">; numerical/discretization error может оставаться. Один stochastic logical draw/pair даёт </w:t>
      </w:r>
      <w:r>
        <w:rPr>
          <w:rFonts w:ascii="DejaVu Sans Mono" w:hAnsi="DejaVu Sans Mono"/>
          <w:sz w:val="19"/>
        </w:rPr>
        <w:t>unestimated</w:t>
      </w:r>
      <w:r>
        <w:t>, не ноль [В15]. Речь о logical units: один вызов engine может корректно выполнить множество внутренних draws; число calls не равно sample count.</w:t>
      </w:r>
    </w:p>
    <w:p>
      <w:pPr/>
      <w:r>
        <w:t>Для двух matched pairs A=[1,3], B=[0,2] differences [1,1] дают empirical paired MCSE estimate 0; independent-arm formula дала бы √2. Это проверка выбранного estimator, не знание истинной нулевой ошибки. Constant MCMC output может означать отсутствие mixing. У 10 000 IID draws из Normal(0,1) MCSE mean может быть около 0.01, пока posterior SD остаётся около 1. Увеличение вычислений не должно уменьшать заявленную world uncertainty в сто раз.</w:t>
      </w:r>
    </w:p>
    <w:p>
      <w:pPr/>
      <w:r>
        <w:t>Первый implementation может поддержать один метод и честно помечать остальные unsupported/unestimated. Результат requested n=10 с одной execution не является десятью повторениями. Потерянные pairing/stream facts нельзя восстановить по одному requested count. При intact draws допустима новая derived precision summary с точным lineage; иначе требуется новый run либо limited history.</w:t>
      </w:r>
    </w:p>
    <w:p>
      <w:pPr>
        <w:pStyle w:val="Heading2"/>
      </w:pPr>
      <w:bookmarkStart w:id="27" w:name="E02_ARCH_40"/>
      <w:r>
        <w:t>6.6 E02-ARCH-40 SIM03 metric set и знаменатели</w:t>
      </w:r>
      <w:bookmarkEnd w:id="27"/>
    </w:p>
    <w:p>
      <w:pPr>
        <w:wordWrap w:val="0"/>
      </w:pPr>
      <w:r>
        <w:t xml:space="preserve">SIM-03/B25 требует versioned </w:t>
      </w:r>
      <w:r>
        <w:rPr>
          <w:rFonts w:ascii="DejaVu Sans Mono" w:hAnsi="DejaVu Sans Mono"/>
          <w:sz w:val="19"/>
        </w:rPr>
        <w:t>MetricSetContract</w:t>
      </w:r>
      <w:r>
        <w:t xml:space="preserve"> у существующего SMM producer: ordered metric IDs, definition/target/unit, horizon/aggregation, observed target moments, normalization/scales, requiredness, valid-repeat rule и distance/weighting. Каждый metric result сохраняет requested/attempted/valid repeats, weights, actual included IDs, missing/failure reason и estimator.</w:t>
      </w:r>
    </w:p>
    <w:p>
      <w:pPr/>
      <w:r>
        <w:t>Рекомендуемый minimal profile: все metrics, участвующие в ranking distance, обязательны; optional metrics — diagnostics. Если optional metric должен влиять на rank, общий ranking profile выбирается до результатов и задаёт requiredness либо научно валидный symmetric missingness rule. Per-candidate weight renormalization по сохранившимся columns запрещён.</w:t>
      </w:r>
    </w:p>
    <w:p>
      <w:pPr/>
      <w:r>
        <w:t>При target moments (0,0) и equal squared weights A=(0,10) имеет distance 100, B=(1,1) имеет distance 2. Потеря второго metric у A не превращает distance в 0. Optional diagnostic на 2 из 10 repeats обозначается 2/10, а не десятью observations. Denominator показывает missingness, но сам не оправдывает complete-case inference. Все evaluated candidates unrankable дают no-champion outcome E02-ARCH-43. SMM measurement meaning, B111 objective authority и B116 comparison projection различаются и используют общие refs, не три новые registry.</w:t>
      </w:r>
    </w:p>
    <w:p>
      <w:pPr>
        <w:pStyle w:val="Heading1"/>
      </w:pPr>
      <w:bookmarkStart w:id="28" w:name="section_7"/>
      <w:r>
        <w:t>7 Данные действие и пересборка научного basis</w:t>
      </w:r>
      <w:bookmarkEnd w:id="28"/>
    </w:p>
    <w:p>
      <w:pPr>
        <w:pStyle w:val="Heading2"/>
      </w:pPr>
      <w:bookmarkStart w:id="29" w:name="E02_ARCH_16"/>
      <w:r>
        <w:t>7.1 E02-ARCH-16 Source time и фактическая выборка</w:t>
      </w:r>
      <w:bookmarkEnd w:id="29"/>
    </w:p>
    <w:p>
      <w:pPr>
        <w:wordWrap w:val="0"/>
      </w:pPr>
      <w:r>
        <w:t xml:space="preserve">У источника нужны разные координаты: observation period/instant с calendar/granularity/boundaries, measure semantics; publisher snapshot/revision и поддержанный release/update time; custody </w:t>
      </w:r>
      <w:r>
        <w:rPr>
          <w:rFonts w:ascii="DejaVu Sans Mono" w:hAnsi="DejaVu Sans Mono"/>
          <w:sz w:val="19"/>
        </w:rPr>
        <w:t>retrieved_at</w:t>
      </w:r>
      <w:r>
        <w:t xml:space="preserve"> и </w:t>
      </w:r>
      <w:r>
        <w:rPr>
          <w:rFonts w:ascii="DejaVu Sans Mono" w:hAnsi="DejaVu Sans Mono"/>
          <w:sz w:val="19"/>
        </w:rPr>
        <w:t>normalized_at</w:t>
      </w:r>
      <w:r>
        <w:t>. Новая загрузка не доказывает новый publisher vintage. Дата updated не заменяет observation period [В9].</w:t>
      </w:r>
    </w:p>
    <w:p>
      <w:pPr>
        <w:wordWrap w:val="0"/>
      </w:pPr>
      <w:r>
        <w:rPr>
          <w:rFonts w:ascii="DejaVu Sans Mono" w:hAnsi="DejaVu Sans Mono"/>
          <w:sz w:val="19"/>
        </w:rPr>
        <w:t>SelectionProfile</w:t>
      </w:r>
      <w:r>
        <w:t xml:space="preserve"> задаёт input schema, row keys/population frame, observation selector, доступный release/as-of selector, aggregation/weights, missing-row treatment и unit mapping. </w:t>
      </w:r>
      <w:r>
        <w:rPr>
          <w:rFonts w:ascii="DejaVu Sans Mono" w:hAnsi="DejaVu Sans Mono"/>
          <w:sz w:val="19"/>
        </w:rPr>
        <w:t>SelectionReceipt</w:t>
      </w:r>
      <w:r>
        <w:t xml:space="preserve"> связывает input artifact/view, exact selected row set либо воспроизводимый query/version/digest, profile, coverage и exclusions. Заявленный период WMR без такого receipt не доказывает, что выбраны правильные строки.</w:t>
      </w:r>
    </w:p>
    <w:p>
      <w:pPr/>
      <w:r>
        <w:t>Пример: GDP за 2023 год выпущен как 100 в марте 2024 и пересмотрен до 105 в марте 2025. Backtest с information cutoff в июне 2024 должен использовать доступное тогда 100. Если vintage неизвестен, результат не получает ex-ante claim. Annual flow нельзя без предпосылки разделить на monthly flows. Annual balance в percent GDP не становится USD stock от умножения на GDP.</w:t>
      </w:r>
    </w:p>
    <w:p>
      <w:pPr>
        <w:wordWrap w:val="0"/>
      </w:pPr>
      <w:r>
        <w:rPr>
          <w:rFonts w:ascii="DejaVu Sans Mono" w:hAnsi="DejaVu Sans Mono"/>
          <w:sz w:val="19"/>
        </w:rPr>
        <w:t>not_established</w:t>
      </w:r>
      <w:r>
        <w:t xml:space="preserve"> означает неизвестный смысл или покрытие. </w:t>
      </w:r>
      <w:r>
        <w:rPr>
          <w:rFonts w:ascii="DejaVu Sans Mono" w:hAnsi="DejaVu Sans Mono"/>
          <w:sz w:val="19"/>
        </w:rPr>
        <w:t>not_covered</w:t>
      </w:r>
      <w:r>
        <w:t xml:space="preserve"> требует подтверждённого несоответствия scope. Unknown не равен disjoint. Для пяти R1 DataState inputs time/unit/selection semantics должны подтверждаться отдельно; общий struct не восполняет отсутствующие данные.</w:t>
      </w:r>
    </w:p>
    <w:p>
      <w:pPr>
        <w:pStyle w:val="Heading2"/>
      </w:pPr>
      <w:bookmarkStart w:id="30" w:name="E02_ARCH_17"/>
      <w:r>
        <w:t>7.2 E02-ARCH-17 Численная материализация intervention</w:t>
      </w:r>
      <w:bookmarkEnd w:id="30"/>
    </w:p>
    <w:p>
      <w:pPr>
        <w:wordWrap w:val="0"/>
      </w:pPr>
      <w:r>
        <w:t xml:space="preserve">Использовать существующего L6 lever owner, atom binding и generation request builder. Target contract различает </w:t>
      </w:r>
      <w:r>
        <w:rPr>
          <w:rFonts w:ascii="DejaVu Sans Mono" w:hAnsi="DejaVu Sans Mono"/>
          <w:sz w:val="19"/>
        </w:rPr>
        <w:t>materialized</w:t>
      </w:r>
      <w:r>
        <w:t xml:space="preserve">, </w:t>
      </w:r>
      <w:r>
        <w:rPr>
          <w:rFonts w:ascii="DejaVu Sans Mono" w:hAnsi="DejaVu Sans Mono"/>
          <w:sz w:val="19"/>
        </w:rPr>
        <w:t>symbolic_only</w:t>
      </w:r>
      <w:r>
        <w:t xml:space="preserve">, </w:t>
      </w:r>
      <w:r>
        <w:rPr>
          <w:rFonts w:ascii="DejaVu Sans Mono" w:hAnsi="DejaVu Sans Mono"/>
          <w:sz w:val="19"/>
        </w:rPr>
        <w:t>unsupported</w:t>
      </w:r>
      <w:r>
        <w:t>. Материализованный результат связывает grounded atom/operator/parameter, target slot/model registry, numeric value/unit, domain check, baseline при необходимости, temporal schedule/horizon, operation и exact engine-submitted assignments с acknowledgement.</w:t>
      </w:r>
    </w:p>
    <w:p>
      <w:pPr>
        <w:wordWrap w:val="0"/>
      </w:pPr>
      <w:r>
        <w:t xml:space="preserve">Начальный поддерживаемый оператор — </w:t>
      </w:r>
      <w:r>
        <w:rPr>
          <w:rFonts w:ascii="DejaVu Sans Mono" w:hAnsi="DejaVu Sans Mono"/>
          <w:sz w:val="19"/>
        </w:rPr>
        <w:t>set_to</w:t>
      </w:r>
      <w:r>
        <w:t xml:space="preserve">. </w:t>
      </w:r>
      <w:r>
        <w:rPr>
          <w:rFonts w:ascii="DejaVu Sans Mono" w:hAnsi="DejaVu Sans Mono"/>
          <w:sz w:val="19"/>
        </w:rPr>
        <w:t>offset_from_bound_baseline</w:t>
      </w:r>
      <w:r>
        <w:t xml:space="preserve"> добавляется отдельным явно admitted вариантом, когда первый полезный случай действительно требует offset и exact baseline binding. Другие операторы также добавляются по конкретной потребности. Необходима отдельная engine semantics: initial-state assignment, structural-equation replacement, parameter change или time-varying mechanism. Однократная замена initial state не называется постоянным </w:t>
      </w:r>
      <w:r>
        <w:rPr>
          <w:rFonts w:ascii="DejaVu Sans Mono" w:hAnsi="DejaVu Sans Mono"/>
          <w:sz w:val="19"/>
        </w:rPr>
        <w:t>do</w:t>
      </w:r>
      <w:r>
        <w:t>.</w:t>
      </w:r>
    </w:p>
    <w:p>
      <w:pPr>
        <w:wordWrap w:val="0"/>
      </w:pPr>
      <w:r>
        <w:t xml:space="preserve">При ставке 0.20 </w:t>
      </w:r>
      <w:r>
        <w:rPr>
          <w:rFonts w:ascii="DejaVu Sans Mono" w:hAnsi="DejaVu Sans Mono"/>
          <w:sz w:val="19"/>
        </w:rPr>
        <w:t>set_to 0.05</w:t>
      </w:r>
      <w:r>
        <w:t xml:space="preserve"> даёт 0.05; </w:t>
      </w:r>
      <w:r>
        <w:rPr>
          <w:rFonts w:ascii="DejaVu Sans Mono" w:hAnsi="DejaVu Sans Mono"/>
          <w:sz w:val="19"/>
        </w:rPr>
        <w:t>offset 0.05</w:t>
      </w:r>
      <w:r>
        <w:t xml:space="preserve"> даёт 0.25; относительный рост на 5% даёт 0.21. Без явного оператора эти варианты нельзя угадывать. Запрещены silent clipping, conversion и baseline substitution. Ошибки: </w:t>
      </w:r>
      <w:r>
        <w:rPr>
          <w:rFonts w:ascii="DejaVu Sans Mono" w:hAnsi="DejaVu Sans Mono"/>
          <w:sz w:val="19"/>
        </w:rPr>
        <w:t>unsupported_operator</w:t>
      </w:r>
      <w:r>
        <w:t xml:space="preserve">, </w:t>
      </w:r>
      <w:r>
        <w:rPr>
          <w:rFonts w:ascii="DejaVu Sans Mono" w:hAnsi="DejaVu Sans Mono"/>
          <w:sz w:val="19"/>
        </w:rPr>
        <w:t>unit_or_slot_mismatch</w:t>
      </w:r>
      <w:r>
        <w:t xml:space="preserve">, </w:t>
      </w:r>
      <w:r>
        <w:rPr>
          <w:rFonts w:ascii="DejaVu Sans Mono" w:hAnsi="DejaVu Sans Mono"/>
          <w:sz w:val="19"/>
        </w:rPr>
        <w:t>domain_violation</w:t>
      </w:r>
      <w:r>
        <w:t xml:space="preserve">, </w:t>
      </w:r>
      <w:r>
        <w:rPr>
          <w:rFonts w:ascii="DejaVu Sans Mono" w:hAnsi="DejaVu Sans Mono"/>
          <w:sz w:val="19"/>
        </w:rPr>
        <w:t>baseline_mismatch</w:t>
      </w:r>
      <w:r>
        <w:t>.</w:t>
      </w:r>
    </w:p>
    <w:p>
      <w:pPr/>
      <w:r>
        <w:t>Wiring acceptance использует known-sensitive controlled model. Нулевой эффект реальной intervention может быть корректен; ненулевое изменение чисел не доказывает causal identification.</w:t>
      </w:r>
    </w:p>
    <w:p>
      <w:pPr>
        <w:pStyle w:val="Heading2"/>
      </w:pPr>
      <w:bookmarkStart w:id="31" w:name="E02_ARCH_18"/>
      <w:r>
        <w:t>7.3 E02-ARCH-18 World evaluation и fresh context после acquisition</w:t>
      </w:r>
      <w:bookmarkEnd w:id="31"/>
    </w:p>
    <w:p>
      <w:pPr>
        <w:wordWrap w:val="0"/>
      </w:pPr>
      <w:r>
        <w:rPr>
          <w:rFonts w:ascii="DejaVu Sans Mono" w:hAnsi="DejaVu Sans Mono"/>
          <w:sz w:val="19"/>
        </w:rPr>
        <w:t>WorldEvaluationSpec</w:t>
      </w:r>
      <w:r>
        <w:t xml:space="preserve"> связывает WMR/source basis, role </w:t>
      </w:r>
      <w:r>
        <w:rPr>
          <w:rFonts w:ascii="DejaVu Sans Mono" w:hAnsi="DejaVu Sans Mono"/>
          <w:sz w:val="19"/>
        </w:rPr>
        <w:t>world_model</w:t>
      </w:r>
      <w:r>
        <w:t>, model version, engine binding и horizon mapping. Для ProgramGraph нужны exact graph/ExecPlan/order/registry refs, runtime semantics и parameter/state bindings. Другой действующий engine получает собственный closed variant; универсальный ProgramGraph для всех моделей не нужен.</w:t>
      </w:r>
    </w:p>
    <w:p>
      <w:pPr>
        <w:wordWrap w:val="0"/>
      </w:pPr>
      <w:r>
        <w:t xml:space="preserve">Policy </w:t>
      </w:r>
      <w:r>
        <w:rPr>
          <w:rFonts w:ascii="DejaVu Sans Mono" w:hAnsi="DejaVu Sans Mono"/>
          <w:sz w:val="19"/>
        </w:rPr>
        <w:t>CompileResult</w:t>
      </w:r>
      <w:r>
        <w:t xml:space="preserve"> не world-model plan вследствие сходной формы ref. Exact plan должен cold-reopen через переданный guarded store. Order-sensitive изменение меняет basis: при </w:t>
      </w:r>
      <w:r>
        <w:rPr>
          <w:rFonts w:ascii="DejaVu Sans Mono" w:hAnsi="DejaVu Sans Mono"/>
          <w:sz w:val="19"/>
        </w:rPr>
        <w:t>x=1</w:t>
      </w:r>
      <w:r>
        <w:t xml:space="preserve">, операциях </w:t>
      </w:r>
      <w:r>
        <w:rPr>
          <w:rFonts w:ascii="DejaVu Sans Mono" w:hAnsi="DejaVu Sans Mono"/>
          <w:sz w:val="19"/>
        </w:rPr>
        <w:t>x←x+1</w:t>
      </w:r>
      <w:r>
        <w:t xml:space="preserve"> и </w:t>
      </w:r>
      <w:r>
        <w:rPr>
          <w:rFonts w:ascii="DejaVu Sans Mono" w:hAnsi="DejaVu Sans Mono"/>
          <w:sz w:val="19"/>
        </w:rPr>
        <w:t>x←2x</w:t>
      </w:r>
      <w:r>
        <w:t xml:space="preserve"> порядок даёт 4 или 3. У чистого DAG допустима сохраняющая семантику перестановка независимых узлов, но replay identity и semantic equivalence всё равно различаются.</w:t>
      </w:r>
    </w:p>
    <w:p>
      <w:pPr/>
      <w:r>
        <w:t>После acquisition рекомендуемый переход: устойчивый subject S, exact новое evidence E, admission/mapping, новый state W1, basis B1 с predecessor B0, новая occurrence и свежий context. N4/N5 используют context актуального basis; protected EvalSafety получает отдельный context, сохраняя независимый challenge N8. Root context не переносится автоматически после material revision.</w:t>
      </w:r>
    </w:p>
    <w:p>
      <w:pPr>
        <w:wordWrap w:val="0"/>
      </w:pPr>
      <w:r>
        <w:t xml:space="preserve">Transition receipt показывает E→selected DataState→WMR→basis/context→точный N5 input/result, изменённые и неизменённые subrecords и no-op/rejection reason. Статусы </w:t>
      </w:r>
      <w:r>
        <w:rPr>
          <w:rFonts w:ascii="DejaVu Sans Mono" w:hAnsi="DejaVu Sans Mono"/>
          <w:sz w:val="19"/>
        </w:rPr>
        <w:t>fetched_but_unadmitted</w:t>
      </w:r>
      <w:r>
        <w:t xml:space="preserve">, </w:t>
      </w:r>
      <w:r>
        <w:rPr>
          <w:rFonts w:ascii="DejaVu Sans Mono" w:hAnsi="DejaVu Sans Mono"/>
          <w:sz w:val="19"/>
        </w:rPr>
        <w:t>mapping_not_established</w:t>
      </w:r>
      <w:r>
        <w:t xml:space="preserve">, </w:t>
      </w:r>
      <w:r>
        <w:rPr>
          <w:rFonts w:ascii="DejaVu Sans Mono" w:hAnsi="DejaVu Sans Mono"/>
          <w:sz w:val="19"/>
        </w:rPr>
        <w:t>admitted_not_consumed</w:t>
      </w:r>
      <w:r>
        <w:t xml:space="preserve">, </w:t>
      </w:r>
      <w:r>
        <w:rPr>
          <w:rFonts w:ascii="DejaVu Sans Mono" w:hAnsi="DejaVu Sans Mono"/>
          <w:sz w:val="19"/>
        </w:rPr>
        <w:t>consumed_no_measured_improvement</w:t>
      </w:r>
      <w:r>
        <w:t xml:space="preserve">, </w:t>
      </w:r>
      <w:r>
        <w:rPr>
          <w:rFonts w:ascii="DejaVu Sans Mono" w:hAnsi="DejaVu Sans Mono"/>
          <w:sz w:val="19"/>
        </w:rPr>
        <w:t>stale_context</w:t>
      </w:r>
      <w:r>
        <w:t xml:space="preserve">, </w:t>
      </w:r>
      <w:r>
        <w:rPr>
          <w:rFonts w:ascii="DejaVu Sans Mono" w:hAnsi="DejaVu Sans Mono"/>
          <w:sz w:val="19"/>
        </w:rPr>
        <w:t>no_op_duplicate_source</w:t>
      </w:r>
      <w:r>
        <w:t xml:space="preserve"> полезнее общего acquired=true.</w:t>
      </w:r>
    </w:p>
    <w:p>
      <w:pPr/>
      <w:r>
        <w:t>Получение данных, их admission, численное потребление и улучшение являются разными фактами. Новое evidence может дать прежний результат или расширить uncertainty. Повторная загрузка тех же bytes не означает новое знание. Общий draw ID двух результатов ещё не устанавливает корректную paired comparison.</w:t>
      </w:r>
    </w:p>
    <w:p>
      <w:pPr>
        <w:wordWrap w:val="0"/>
      </w:pPr>
      <w:r>
        <w:rPr>
          <w:b/>
        </w:rPr>
        <w:t>Baseline prior после acquisition.</w:t>
      </w:r>
      <w:r>
        <w:t xml:space="preserve"> Existing prior owner возвращает </w:t>
      </w:r>
      <w:r>
        <w:rPr>
          <w:rFonts w:ascii="DejaVu Sans Mono" w:hAnsi="DejaVu Sans Mono"/>
          <w:sz w:val="19"/>
        </w:rPr>
        <w:t>frozen_baseline_prior</w:t>
      </w:r>
      <w:r>
        <w:t xml:space="preserve">, </w:t>
      </w:r>
      <w:r>
        <w:rPr>
          <w:rFonts w:ascii="DejaVu Sans Mono" w:hAnsi="DejaVu Sans Mono"/>
          <w:sz w:val="19"/>
        </w:rPr>
        <w:t>newly_derived_prior_or_posterior</w:t>
      </w:r>
      <w:r>
        <w:t xml:space="preserve"> либо </w:t>
      </w:r>
      <w:r>
        <w:rPr>
          <w:rFonts w:ascii="DejaVu Sans Mono" w:hAnsi="DejaVu Sans Mono"/>
          <w:sz w:val="19"/>
        </w:rPr>
        <w:t>reuse_not_established</w:t>
      </w:r>
      <w:r>
        <w:t>. В первом случае исходные conditioning refs, parameterization/model/population/units и ограничения остаются прежними; новый applicability receipt не делает старый prior обновлённым. Во втором случае фиксируются base prior, новые contributing evidence, overlap/dependence treatment, update method и resulting conditioning set. Старый posterior может стать новым prior только при корректном sequential conditioning. Повторная загрузка того же успеха превращает Beta(1,1) в Beta(2,1) один раз; другой source ID не разрешает Beta(3,1). Новое conditionally independent наблюдение допускает второе обновление. Revision исходного успеха на неуспех требует replacement/rebuild, а не учёта обоих как независимых наблюдений.</w:t>
      </w:r>
    </w:p>
    <w:p>
      <w:pPr>
        <w:wordWrap w:val="0"/>
      </w:pPr>
      <w:r>
        <w:t xml:space="preserve">Claim о потреблении приобретённой строки требует её наличия в фактическом </w:t>
      </w:r>
      <w:r>
        <w:rPr>
          <w:rFonts w:ascii="DejaVu Sans Mono" w:hAnsi="DejaVu Sans Mono"/>
          <w:sz w:val="19"/>
        </w:rPr>
        <w:t>DataSnapshot.data_ref</w:t>
      </w:r>
      <w:r>
        <w:t xml:space="preserve"> и Foundry payload, а не только source metadata. Frozen baseline полезен как явно неизменённый baseline; ему нельзя приписать assimilation. При смене population/model требуется applicability/transport evidence. Restricted L2 confidence guard сохраняется независимо от математической допустимости prior. Completed-source resolver должен иметь точный admitted purpose и scope; default direct-actor re-entry использует новый job/lease, более широкая delegation ждёт собственного контракта E02-ARCH-10.</w:t>
      </w:r>
    </w:p>
    <w:p>
      <w:pPr>
        <w:pStyle w:val="Heading2"/>
      </w:pPr>
      <w:bookmarkStart w:id="32" w:name="E02_ARCH_19"/>
      <w:r>
        <w:t>7.4 E02-ARCH-19 Restricted L2 и новый source occurrence</w:t>
      </w:r>
      <w:bookmarkEnd w:id="32"/>
    </w:p>
    <w:p>
      <w:pPr>
        <w:wordWrap w:val="0"/>
      </w:pPr>
      <w:r>
        <w:t xml:space="preserve">Рекомендую оставить vintage guard и вначале предоставить owner-allowlisted </w:t>
      </w:r>
      <w:r>
        <w:rPr>
          <w:rFonts w:ascii="DejaVu Sans Mono" w:hAnsi="DejaVu Sans Mono"/>
          <w:sz w:val="19"/>
        </w:rPr>
        <w:t>candidate_unknown</w:t>
      </w:r>
      <w:r>
        <w:t xml:space="preserve"> projection. Restricted confidence и все производные от него веса, prompt hints и certificate claims должны быть withheld. Exception text как неявный протокол можно заменить typed outcome, но не исключением из научной границы.</w:t>
      </w:r>
    </w:p>
    <w:p>
      <w:pPr/>
      <w:r>
        <w:t>Более сильный путь нужен для конкретного confidence consumer: действительно новый owner-admitted source occurrence либо полный явно ограниченный slice. Он фиксирует source family/custodian, exact ref/view, source spans, occurrence ID, extraction producer/rule, time profile или unknown, evidence-axis status, confidence reproducibility evidence, graph snapshot/complete slice, selection rule/scope, forwarding admission, allowed use и limitations.</w:t>
      </w:r>
    </w:p>
    <w:p>
      <w:pPr>
        <w:wordWrap w:val="0"/>
      </w:pPr>
      <w:r>
        <w:t xml:space="preserve">Переход: </w:t>
      </w:r>
      <w:r>
        <w:rPr>
          <w:rFonts w:ascii="DejaVu Sans Mono" w:hAnsi="DejaVu Sans Mono"/>
          <w:sz w:val="19"/>
        </w:rPr>
        <w:t>new_occurrence_proposed → source_verified → owner_admitted → selected → consumed</w:t>
      </w:r>
      <w:r>
        <w:t>. Копирование или переименование старой базы не создаёт forwardable confidence. Неполный slice не объявляется полным corpus. Новый reference/index строится под новой identity; оригинальные restricted bytes и declaration сохраняются.</w:t>
      </w:r>
    </w:p>
    <w:p>
      <w:pPr/>
      <w:r>
        <w:t>Полная повторная extraction всего корпуса дороже и пока не обоснована одним заблокированным путём. Её смысл появляется при реальном широком workload. Evidence о source issuer, extraction и axes требуется фактически; typed projection не устанавливает DataState time semantics, S8 или publication authority.</w:t>
      </w:r>
    </w:p>
    <w:p>
      <w:pPr>
        <w:pStyle w:val="Heading2"/>
      </w:pPr>
      <w:bookmarkStart w:id="33" w:name="E02_ARCH_20"/>
      <w:r>
        <w:t>7.5 E02-ARCH-20 Четыре независимых семантических предиката источника</w:t>
      </w:r>
      <w:bookmarkEnd w:id="33"/>
    </w:p>
    <w:p>
      <w:pPr/>
      <w:r>
        <w:t>Для текущего bounded source route отдельно проверяются:</w:t>
      </w:r>
    </w:p>
    <w:p>
      <w:pPr>
        <w:ind w:left="331" w:hanging="331"/>
      </w:pPr>
      <w:r>
        <w:t xml:space="preserve">1. </w:t>
      </w:r>
      <w:r>
        <w:t>Geography: raw code, code system, code-list version/issuer metadata, entity kind и mapping ref</w:t>
      </w:r>
    </w:p>
    <w:p>
      <w:pPr>
        <w:ind w:left="331" w:hanging="331"/>
      </w:pPr>
      <w:r>
        <w:t xml:space="preserve">2. </w:t>
      </w:r>
      <w:r>
        <w:t>Variable: namespace/owner/version, exact qualified ID и raw indicator binding</w:t>
      </w:r>
    </w:p>
    <w:p>
      <w:pPr>
        <w:ind w:left="331" w:hanging="331"/>
      </w:pPr>
      <w:r>
        <w:t xml:space="preserve">3. </w:t>
      </w:r>
      <w:r>
        <w:t>Quantity: dimension, unit/scale, stock-flow-rate meaning, aggregation, currency/price basis, denominator и temporal basis, conversion rule/inputs</w:t>
      </w:r>
    </w:p>
    <w:p>
      <w:pPr>
        <w:ind w:left="331" w:hanging="331"/>
      </w:pPr>
      <w:r>
        <w:t xml:space="preserve">4. </w:t>
      </w:r>
      <w:r>
        <w:t>Publisher vintage: содержание assertion, scope и evidence; отдельно observation period, retrieval time, response digest и normalized version</w:t>
      </w:r>
    </w:p>
    <w:p>
      <w:pPr/>
      <w:r>
        <w:t>Строка, похожая на ISO3, не устанавливает code system. World Bank использует и собственные fallback-коды, поэтому даже WDI route не делает каждый token ISO3 [В10]. Правильная страна с неправильным indicator остаётся неправильным результатом. Qualified dotted ID без binding не является известной variable.</w:t>
      </w:r>
    </w:p>
    <w:p>
      <w:pPr>
        <w:wordWrap w:val="0"/>
      </w:pPr>
      <w:r>
        <w:t xml:space="preserve">Рекомендую один coordinated cutover текущей </w:t>
      </w:r>
      <w:r>
        <w:rPr>
          <w:rFonts w:ascii="DejaVu Sans Mono" w:hAnsi="DejaVu Sans Mono"/>
          <w:sz w:val="19"/>
        </w:rPr>
        <w:t>DesignProblem</w:t>
      </w:r>
      <w:r>
        <w:t xml:space="preserve"> schema, runtime/provider и N8 route на нужную qualified-variable grammar. Сначала исправляется intended outcome, затем вычисляются refs/hashes. Fixture для </w:t>
      </w:r>
      <w:r>
        <w:rPr>
          <w:rFonts w:ascii="DejaVu Sans Mono" w:hAnsi="DejaVu Sans Mono"/>
          <w:sz w:val="19"/>
        </w:rPr>
        <w:t>firm_survival</w:t>
      </w:r>
      <w:r>
        <w:t xml:space="preserve"> с результатом </w:t>
      </w:r>
      <w:r>
        <w:rPr>
          <w:rFonts w:ascii="DejaVu Sans Mono" w:hAnsi="DejaVu Sans Mono"/>
          <w:sz w:val="19"/>
        </w:rPr>
        <w:t>government.balance</w:t>
      </w:r>
      <w:r>
        <w:t xml:space="preserve"> не становится валидной от сходства типа. Старые v1/v2 hashed grammars остаются только в frozen historical readers; постоянная параллельная active DTO grammar не нужна.</w:t>
      </w:r>
    </w:p>
    <w:p>
      <w:pPr>
        <w:wordWrap w:val="0"/>
      </w:pPr>
      <w:r>
        <w:t xml:space="preserve">Ошибки раздельны: </w:t>
      </w:r>
      <w:r>
        <w:rPr>
          <w:rFonts w:ascii="DejaVu Sans Mono" w:hAnsi="DejaVu Sans Mono"/>
          <w:sz w:val="19"/>
        </w:rPr>
        <w:t>code_system_not_established</w:t>
      </w:r>
      <w:r>
        <w:t xml:space="preserve">, </w:t>
      </w:r>
      <w:r>
        <w:rPr>
          <w:rFonts w:ascii="DejaVu Sans Mono" w:hAnsi="DejaVu Sans Mono"/>
          <w:sz w:val="19"/>
        </w:rPr>
        <w:t>country_mapping_mismatch</w:t>
      </w:r>
      <w:r>
        <w:t xml:space="preserve">, </w:t>
      </w:r>
      <w:r>
        <w:rPr>
          <w:rFonts w:ascii="DejaVu Sans Mono" w:hAnsi="DejaVu Sans Mono"/>
          <w:sz w:val="19"/>
        </w:rPr>
        <w:t>variable_not_bound</w:t>
      </w:r>
      <w:r>
        <w:t xml:space="preserve">, </w:t>
      </w:r>
      <w:r>
        <w:rPr>
          <w:rFonts w:ascii="DejaVu Sans Mono" w:hAnsi="DejaVu Sans Mono"/>
          <w:sz w:val="19"/>
        </w:rPr>
        <w:t>unit_incompatible</w:t>
      </w:r>
      <w:r>
        <w:t xml:space="preserve">, </w:t>
      </w:r>
      <w:r>
        <w:rPr>
          <w:rFonts w:ascii="DejaVu Sans Mono" w:hAnsi="DejaVu Sans Mono"/>
          <w:sz w:val="19"/>
        </w:rPr>
        <w:t>conversion_inputs_missing</w:t>
      </w:r>
      <w:r>
        <w:t xml:space="preserve">, </w:t>
      </w:r>
      <w:r>
        <w:rPr>
          <w:rFonts w:ascii="DejaVu Sans Mono" w:hAnsi="DejaVu Sans Mono"/>
          <w:sz w:val="19"/>
        </w:rPr>
        <w:t>temporal_scope_mismatch</w:t>
      </w:r>
      <w:r>
        <w:t xml:space="preserve">, </w:t>
      </w:r>
      <w:r>
        <w:rPr>
          <w:rFonts w:ascii="DejaVu Sans Mono" w:hAnsi="DejaVu Sans Mono"/>
          <w:sz w:val="19"/>
        </w:rPr>
        <w:t>publisher_vintage_not_established</w:t>
      </w:r>
      <w:r>
        <w:t xml:space="preserve">, </w:t>
      </w:r>
      <w:r>
        <w:rPr>
          <w:rFonts w:ascii="DejaVu Sans Mono" w:hAnsi="DejaVu Sans Mono"/>
          <w:sz w:val="19"/>
        </w:rPr>
        <w:t>row_not_found</w:t>
      </w:r>
      <w:r>
        <w:t>. Положительный exact WDI selection может честно сохранять unknown publisher vintage и ограниченный candidate status.</w:t>
      </w:r>
    </w:p>
    <w:p>
      <w:pPr>
        <w:pStyle w:val="Heading2"/>
      </w:pPr>
      <w:bookmarkStart w:id="34" w:name="E02_ARCH_21"/>
      <w:r>
        <w:t>7.6 E02-ARCH-21 Exact input observations до любого reuse</w:t>
      </w:r>
      <w:bookmarkEnd w:id="34"/>
    </w:p>
    <w:p>
      <w:pPr/>
      <w:r>
        <w:t>Cache или resume допускается только после разрешения всех output-affecting inputs через их существующих владельцев. Один immutable resolved snapshot используют и builder, и reader/resume. Он фиксирует stage/operation, code/rule/config, selection/layout/schema generation, каждого member и output refs.</w:t>
      </w:r>
    </w:p>
    <w:p>
      <w:pPr>
        <w:wordWrap w:val="0"/>
      </w:pPr>
      <w:r>
        <w:t xml:space="preserve">Member различает роль </w:t>
      </w:r>
      <w:r>
        <w:rPr>
          <w:rFonts w:ascii="DejaVu Sans Mono" w:hAnsi="DejaVu Sans Mono"/>
          <w:sz w:val="19"/>
        </w:rPr>
        <w:t>bytes_consumed</w:t>
      </w:r>
      <w:r>
        <w:t xml:space="preserve">, </w:t>
      </w:r>
      <w:r>
        <w:rPr>
          <w:rFonts w:ascii="DejaVu Sans Mono" w:hAnsi="DejaVu Sans Mono"/>
          <w:sz w:val="19"/>
        </w:rPr>
        <w:t>presence_checked</w:t>
      </w:r>
      <w:r>
        <w:t xml:space="preserve">, </w:t>
      </w:r>
      <w:r>
        <w:rPr>
          <w:rFonts w:ascii="DejaVu Sans Mono" w:hAnsi="DejaVu Sans Mono"/>
          <w:sz w:val="19"/>
        </w:rPr>
        <w:t>derived_input</w:t>
      </w:r>
      <w:r>
        <w:t xml:space="preserve"> и состояние </w:t>
      </w:r>
      <w:r>
        <w:rPr>
          <w:rFonts w:ascii="DejaVu Sans Mono" w:hAnsi="DejaVu Sans Mono"/>
          <w:sz w:val="19"/>
        </w:rPr>
        <w:t>present</w:t>
      </w:r>
      <w:r>
        <w:t xml:space="preserve">, </w:t>
      </w:r>
      <w:r>
        <w:rPr>
          <w:rFonts w:ascii="DejaVu Sans Mono" w:hAnsi="DejaVu Sans Mono"/>
          <w:sz w:val="19"/>
        </w:rPr>
        <w:t>absent_optional</w:t>
      </w:r>
      <w:r>
        <w:t xml:space="preserve">, </w:t>
      </w:r>
      <w:r>
        <w:rPr>
          <w:rFonts w:ascii="DejaVu Sans Mono" w:hAnsi="DejaVu Sans Mono"/>
          <w:sz w:val="19"/>
        </w:rPr>
        <w:t>not_selected_by_rule</w:t>
      </w:r>
      <w:r>
        <w:t xml:space="preserve">, </w:t>
      </w:r>
      <w:r>
        <w:rPr>
          <w:rFonts w:ascii="DejaVu Sans Mono" w:hAnsi="DejaVu Sans Mono"/>
          <w:sz w:val="19"/>
        </w:rPr>
        <w:t>missing_required</w:t>
      </w:r>
      <w:r>
        <w:t xml:space="preserve">, </w:t>
      </w:r>
      <w:r>
        <w:rPr>
          <w:rFonts w:ascii="DejaVu Sans Mono" w:hAnsi="DejaVu Sans Mono"/>
          <w:sz w:val="19"/>
        </w:rPr>
        <w:t>unreadable</w:t>
      </w:r>
      <w:r>
        <w:t xml:space="preserve">, </w:t>
      </w:r>
      <w:r>
        <w:rPr>
          <w:rFonts w:ascii="DejaVu Sans Mono" w:hAnsi="DejaVu Sans Mono"/>
          <w:sz w:val="19"/>
        </w:rPr>
        <w:t>invalid</w:t>
      </w:r>
      <w:r>
        <w:t xml:space="preserve">, </w:t>
      </w:r>
      <w:r>
        <w:rPr>
          <w:rFonts w:ascii="DejaVu Sans Mono" w:hAnsi="DejaVu Sans Mono"/>
          <w:sz w:val="19"/>
        </w:rPr>
        <w:t>changed_during_read</w:t>
      </w:r>
      <w:r>
        <w:t>. Для consumed bytes нужны exact digest/size, selected view, parse schema и transform dependencies. Optional unreadable не превращается в absent. Отсутствие файла, влияющее на warning или manifest, тоже является input observation.</w:t>
      </w:r>
    </w:p>
    <w:p>
      <w:pPr/>
      <w:r>
        <w:t>Пример D3: одинаковый список обязательных inputs не устанавливает одинаковый результат, если меняется наличие optional employment. Land/logistics могут менять manifest и warnings, а normalization identity resolver добавляет собственные зависимости. Поэтому early resume до source materialization неприемлем, даже если итоговый файл существует.</w:t>
      </w:r>
    </w:p>
    <w:p>
      <w:pPr/>
      <w:r>
        <w:t xml:space="preserve">При cache hit сохраняется </w:t>
      </w:r>
      <w:r>
        <w:rPr>
          <w:b/>
        </w:rPr>
        <w:t>исходная consumption lineage</w:t>
      </w:r>
      <w:r>
        <w:t xml:space="preserve"> output. Новое read observation можно добавить отдельно; им нельзя restamp старый output. Same-path/same-size modification, output replacement и selected-view change должны invalidate reuse. Неизвестный old manifest version становится miss/history, а не автоматически reusable.</w:t>
      </w:r>
    </w:p>
    <w:p>
      <w:pPr/>
      <w:r>
        <w:rPr>
          <w:b/>
        </w:rPr>
        <w:t>Mutable database sources.</w:t>
      </w:r>
      <w:r>
        <w:t xml:space="preserve"> Hash одного SQLite main file не описывает read view, когда новые данные находятся в WAL. Для такого источника нужен owner-native transaction/snapshot, покрывающий все consumed queries, source/engine/schema identity, isolation/lifetime, query parameters/order и exact materialized query-result refs. Случайный connection ID не является snapshot identity. Если доверенный generation отсутствует, сначала materialize/hash результат и отключить shortcut по database generation либо вернуть limitation. Универсальный cross-engine snapshot service не нужен.</w:t>
      </w:r>
    </w:p>
    <w:p>
      <w:pPr/>
      <w:r>
        <w:t>Коллекция точных immutable A и B не автоматически является одновременным coherent cut. Contract различает declared collection и owner-certified coherent cut с его predicate/member manifest. Для научно допустимой asynchronous collection достаточно собственного явного профиля; нельзя рекламировать его как simultaneous publisher snapshot.</w:t>
      </w:r>
    </w:p>
    <w:p>
      <w:pPr/>
      <w:r>
        <w:rPr>
          <w:b/>
        </w:rPr>
        <w:t>Три отдельные задачи.</w:t>
      </w:r>
      <w:r>
        <w:t xml:space="preserve"> B61 V11 prepared-read путь уже интегрирован; остаются его issuer/provenance/read-handle/K_ref custody и фактическое покрытие callers. LA-031 требует parity по каждому retained registered stage, включая warnings/write behavior; D3 evidence не закрывает D0/P0, D1, D2, D4, D5. LA-032 требует единого selected layout/data/schema inventory для composite и всех sibling readers либо осознанного retirement без полезного потребителя. Test-only producer не создаётся ради заявления о served capability.</w:t>
      </w:r>
    </w:p>
    <w:p>
      <w:pPr>
        <w:pStyle w:val="Heading2"/>
      </w:pPr>
      <w:bookmarkStart w:id="35" w:name="E02_ARCH_22"/>
      <w:r>
        <w:t>7.7 E02-ARCH-22 Один current epoch и явный governed transition</w:t>
      </w:r>
      <w:bookmarkEnd w:id="35"/>
    </w:p>
    <w:p>
      <w:pPr/>
      <w:r>
        <w:t>R3/OP-REISSUE предлагается закрыть архитектурно одним current epoch с isolated historical evaluators. Постоянная dual-live-epoch поддержка оправдана только названным действующим потребителем, которому действительно нужен старый active epoch.</w:t>
      </w:r>
    </w:p>
    <w:p>
      <w:pPr>
        <w:wordWrap w:val="0"/>
      </w:pPr>
      <w:r>
        <w:rPr>
          <w:rFonts w:ascii="DejaVu Sans Mono" w:hAnsi="DejaVu Sans Mono"/>
          <w:sz w:val="19"/>
        </w:rPr>
        <w:t>TransitionRecord</w:t>
      </w:r>
      <w:r>
        <w:t xml:space="preserve"> включает family, exact old/new refs/views, rule/schema/epoch, historical evaluator refs, rationale, authority/adoption evidence, input snapshot, generator identity, dependency/explicit target profile, expected prior active ref, affected consumers, acceptance receipts и disposition прежнего семейства.</w:t>
      </w:r>
    </w:p>
    <w:p>
      <w:pPr>
        <w:wordWrap w:val="0"/>
      </w:pPr>
      <w:r>
        <w:t xml:space="preserve">Переход: </w:t>
      </w:r>
      <w:r>
        <w:rPr>
          <w:rFonts w:ascii="DejaVu Sans Mono" w:hAnsi="DejaVu Sans Mono"/>
          <w:sz w:val="19"/>
        </w:rPr>
        <w:t>proposed → owner_generated → inputs_reconciled → authorized → verified → active</w:t>
      </w:r>
      <w:r>
        <w:t xml:space="preserve">. Activation условна по expected active ref; concurrent изменение делает её конфликтной. Предыдущий family получает явное </w:t>
      </w:r>
      <w:r>
        <w:rPr>
          <w:rFonts w:ascii="DejaVu Sans Mono" w:hAnsi="DejaVu Sans Mono"/>
          <w:sz w:val="19"/>
        </w:rPr>
        <w:t>superseded_current</w:t>
      </w:r>
      <w:r>
        <w:t xml:space="preserve">, </w:t>
      </w:r>
      <w:r>
        <w:rPr>
          <w:rFonts w:ascii="DejaVu Sans Mono" w:hAnsi="DejaVu Sans Mono"/>
          <w:sz w:val="19"/>
        </w:rPr>
        <w:t>closed_experiment</w:t>
      </w:r>
      <w:r>
        <w:t xml:space="preserve">, </w:t>
      </w:r>
      <w:r>
        <w:rPr>
          <w:rFonts w:ascii="DejaVu Sans Mono" w:hAnsi="DejaVu Sans Mono"/>
          <w:sz w:val="19"/>
        </w:rPr>
        <w:t>withdrawn</w:t>
      </w:r>
      <w:r>
        <w:t xml:space="preserve"> или </w:t>
      </w:r>
      <w:r>
        <w:rPr>
          <w:rFonts w:ascii="DejaVu Sans Mono" w:hAnsi="DejaVu Sans Mono"/>
          <w:sz w:val="19"/>
        </w:rPr>
        <w:t>retained_history</w:t>
      </w:r>
      <w:r>
        <w:t>. Продолжающаяся гарантия переносит method-valid accounting, а не получает reset.</w:t>
      </w:r>
    </w:p>
    <w:p>
      <w:pPr/>
      <w:r>
        <w:t>Новые markers поверх неразрешённых inputs, смешанные consumer epochs и restamp старого receipt запрещены. Dependency profile должен обозначать конкретный target: host-scoped Darwin companion не становится platform-neutral evidence. Положительный companion не устраняет остальные governing issues.</w:t>
      </w:r>
    </w:p>
    <w:p>
      <w:pPr>
        <w:wordWrap w:val="0"/>
      </w:pPr>
      <w:r>
        <w:rPr>
          <w:rFonts w:ascii="DejaVu Sans Mono" w:hAnsi="DejaVu Sans Mono"/>
          <w:sz w:val="19"/>
        </w:rPr>
        <w:t>not_started</w:t>
      </w:r>
      <w:r>
        <w:t xml:space="preserve">, </w:t>
      </w:r>
      <w:r>
        <w:rPr>
          <w:rFonts w:ascii="DejaVu Sans Mono" w:hAnsi="DejaVu Sans Mono"/>
          <w:sz w:val="19"/>
        </w:rPr>
        <w:t>input_missing</w:t>
      </w:r>
      <w:r>
        <w:t xml:space="preserve">, </w:t>
      </w:r>
      <w:r>
        <w:rPr>
          <w:rFonts w:ascii="DejaVu Sans Mono" w:hAnsi="DejaVu Sans Mono"/>
          <w:sz w:val="19"/>
        </w:rPr>
        <w:t>setup_error</w:t>
      </w:r>
      <w:r>
        <w:t xml:space="preserve">, </w:t>
      </w:r>
      <w:r>
        <w:rPr>
          <w:rFonts w:ascii="DejaVu Sans Mono" w:hAnsi="DejaVu Sans Mono"/>
          <w:sz w:val="19"/>
        </w:rPr>
        <w:t>execution_failed</w:t>
      </w:r>
      <w:r>
        <w:t xml:space="preserve">, </w:t>
      </w:r>
      <w:r>
        <w:rPr>
          <w:rFonts w:ascii="DejaVu Sans Mono" w:hAnsi="DejaVu Sans Mono"/>
          <w:sz w:val="19"/>
        </w:rPr>
        <w:t>drift</w:t>
      </w:r>
      <w:r>
        <w:t xml:space="preserve">, </w:t>
      </w:r>
      <w:r>
        <w:rPr>
          <w:rFonts w:ascii="DejaVu Sans Mono" w:hAnsi="DejaVu Sans Mono"/>
          <w:sz w:val="19"/>
        </w:rPr>
        <w:t>epoch_mismatch</w:t>
      </w:r>
      <w:r>
        <w:t xml:space="preserve">, </w:t>
      </w:r>
      <w:r>
        <w:rPr>
          <w:rFonts w:ascii="DejaVu Sans Mono" w:hAnsi="DejaVu Sans Mono"/>
          <w:sz w:val="19"/>
        </w:rPr>
        <w:t>transition_not_authorized</w:t>
      </w:r>
      <w:r>
        <w:t xml:space="preserve">, </w:t>
      </w:r>
      <w:r>
        <w:rPr>
          <w:rFonts w:ascii="DejaVu Sans Mono" w:hAnsi="DejaVu Sans Mono"/>
          <w:sz w:val="19"/>
        </w:rPr>
        <w:t>historical_snapshot_not_established</w:t>
      </w:r>
      <w:r>
        <w:t xml:space="preserve">, </w:t>
      </w:r>
      <w:r>
        <w:rPr>
          <w:rFonts w:ascii="DejaVu Sans Mono" w:hAnsi="DejaVu Sans Mono"/>
          <w:sz w:val="19"/>
        </w:rPr>
        <w:t>activation_conflict</w:t>
      </w:r>
      <w:r>
        <w:t xml:space="preserve"> различаются. </w:t>
      </w:r>
      <w:r>
        <w:rPr>
          <w:rFonts w:ascii="DejaVu Sans Mono" w:hAnsi="DejaVu Sans Mono"/>
          <w:sz w:val="19"/>
        </w:rPr>
        <w:t>UNRUN</w:t>
      </w:r>
      <w:r>
        <w:t xml:space="preserve"> применяется к predicate, который не был оценён, а не как переименование реально failed execution. WS-2D current generated outputs исправляются отдельно; W5 historical unknown нельзя исправить сегодняшней генерацией.</w:t>
      </w:r>
    </w:p>
    <w:p>
      <w:pPr/>
      <w:r>
        <w:rPr>
          <w:b/>
        </w:rPr>
        <w:t>Платформа и projector drift.</w:t>
      </w:r>
      <w:r>
        <w:t xml:space="preserve"> Начальный dependency profile объявляет один target tuple: Python implementation/version, OS/platform/machine, активные extras/groups и все marker inputs, влияющие на selection, плюс lock/resolver identity и exact selected dependency nodes/edges. Ambient host не является неявным target. Для нескольких платформ нужны per-target closure receipts либо доказательство равенства по всему принятому target set. Совпавшее число packages не устанавливает closure; dependency markers и extras действительно меняют selection [В14]. Installed wheel/runtime identity и численная эквивалентность остаются отдельными обязательствами.</w:t>
      </w:r>
    </w:p>
    <w:p>
      <w:pPr>
        <w:wordWrap w:val="0"/>
      </w:pPr>
      <w:r>
        <w:t xml:space="preserve">Foundry projector leaf drift и aggregate value-gate drift разбираются отдельно. Для каждого сохраняются old bytes/view, исходные inputs, serializer/projector/rule/model/profile, leaf delta и classification </w:t>
      </w:r>
      <w:r>
        <w:rPr>
          <w:rFonts w:ascii="DejaVu Sans Mono" w:hAnsi="DejaVu Sans Mono"/>
          <w:sz w:val="19"/>
        </w:rPr>
        <w:t>serialization_only|numerical_implementation|scientific_meaning|unknown</w:t>
      </w:r>
      <w:r>
        <w:t>. Byte integrity может оставаться PASS при изменении текущего semantic rederive. Выбор: воспроизвести bounded historical serializer/projector/rule либо создать новый current artifact/owner epoch по авторизованному переходу. Исправление hash для устранения красного статуса не является ни одним из этих вариантов. Один companion PASS не скрывает другие governing failures.</w:t>
      </w:r>
    </w:p>
    <w:p>
      <w:pPr>
        <w:pStyle w:val="Heading2"/>
      </w:pPr>
      <w:bookmarkStart w:id="36" w:name="E02_ARCH_23"/>
      <w:r>
        <w:t>7.8 E02-ARCH-23 Оптимизация только относительно exact cold baseline</w:t>
      </w:r>
      <w:bookmarkEnd w:id="36"/>
    </w:p>
    <w:p>
      <w:pPr/>
      <w:r>
        <w:t>Для CG5 changed child сохранить independent full-reference cold build как correctness oracle и начальный поддерживаемый путь. Request-scoped same-reference memoization — отдельная ограниченная возможность: immutable full content, retrieval profile и authorized context совпадают полностью. Reuse base index не является changed-child optimization.</w:t>
      </w:r>
    </w:p>
    <w:p>
      <w:pPr>
        <w:wordWrap w:val="0"/>
      </w:pPr>
      <w:r>
        <w:rPr>
          <w:rFonts w:ascii="DejaVu Sans Mono" w:hAnsi="DejaVu Sans Mono"/>
          <w:sz w:val="19"/>
        </w:rPr>
        <w:t>RetrievalProfile</w:t>
      </w:r>
      <w:r>
        <w:t xml:space="preserve"> фиксирует engine/extension versions, schema, tokenizer/stemmer/stopwords/normalization, indexed fields, BM25 parameters/formula, query mode, top-k и tie policy. Для существующего рассматриваемого маршрута сохраняются </w:t>
      </w:r>
      <w:r>
        <w:rPr>
          <w:rFonts w:ascii="DejaVu Sans Mono" w:hAnsi="DejaVu Sans Mono"/>
          <w:sz w:val="19"/>
        </w:rPr>
        <w:t>top_k=80</w:t>
      </w:r>
      <w:r>
        <w:t xml:space="preserve"> и deterministic </w:t>
      </w:r>
      <w:r>
        <w:rPr>
          <w:rFonts w:ascii="DejaVu Sans Mono" w:hAnsi="DejaVu Sans Mono"/>
          <w:sz w:val="19"/>
        </w:rPr>
        <w:t>edge_key</w:t>
      </w:r>
      <w:r>
        <w:t xml:space="preserve"> tie-break. Child связывает parent, exact delta и полный resulting content identity.</w:t>
      </w:r>
    </w:p>
    <w:p>
      <w:pPr/>
      <w:r>
        <w:t>В pinned DuckDB FTS wrapper поддержанный incremental child operation не установлен; официальная документация также не обещает автоматического обновления индекса при изменении таблицы [В11]. Exact incremental путь возможен, но должен учитывать изменение corpus statistics и всех затронутых rankings. Изменение edge вне прежнего top-80 может менять document frequency и результаты внутри него.</w:t>
      </w:r>
    </w:p>
    <w:p>
      <w:pPr/>
      <w:r>
        <w:t>При измерении нужны whole-path wall time, build/query spans, peak RSS совместно работающих процессов, swap, temporary disk, resident index, timeout, threads и pins workload/source/code/environment. Сохраняются уже заданные экспериментальные guards: 8 GiB доступного диска, 20–30% physical RAM reserve, явные DuckDB threads 1 или 2 и один resource-bearing process, пока иной профиль не принят. Это локальная граница данного эксперимента, не универсальный capacity standard.</w:t>
      </w:r>
    </w:p>
    <w:p>
      <w:pPr/>
      <w:r>
        <w:t>CG5 full-reference/child workload не смешивается с DataForge overlay probes на 200k/500k и Core selected-row verification N/2N. У каждого свой source denominator, backend/profile и измеряемая операция; удачное масштабирование одного не доказывает остальные.</w:t>
      </w:r>
    </w:p>
    <w:p>
      <w:pPr/>
      <w:r>
        <w:t>Сначала измерить безопасный cold child и whole served path. Если они укладываются в выбранный бюджет, дальнейшую оптимизацию остановить. Если не укладываются, сравнить sequential rebuild с освобождением base, persisted immutable index, exact incremental algorithm и новый retrieval profile. Новый engine может быть разумным для продукта без пользователей, но его tokenization/IDF/tie rules требуют отдельной semantic requalification; это не drop-in ускорение.</w:t>
      </w:r>
    </w:p>
    <w:p>
      <w:pPr>
        <w:wordWrap w:val="0"/>
      </w:pPr>
      <w:r>
        <w:t xml:space="preserve">Equivalence receipt сравнивает ordered top-80 edges/scores, atoms/reasons, CG1 certificate bytes и downstream CG2/CG3. Совпадение только atom IDs недостаточно. </w:t>
      </w:r>
      <w:r>
        <w:rPr>
          <w:rFonts w:ascii="DejaVu Sans Mono" w:hAnsi="DejaVu Sans Mono"/>
          <w:sz w:val="19"/>
        </w:rPr>
        <w:t>resource_guard_unrun</w:t>
      </w:r>
      <w:r>
        <w:t xml:space="preserve"> означает, что работа не допущена безопасно; </w:t>
      </w:r>
      <w:r>
        <w:rPr>
          <w:rFonts w:ascii="DejaVu Sans Mono" w:hAnsi="DejaVu Sans Mono"/>
          <w:sz w:val="19"/>
        </w:rPr>
        <w:t>resource_ceiling</w:t>
      </w:r>
      <w:r>
        <w:t xml:space="preserve"> после запуска не является scientific failure или convergence.</w:t>
      </w:r>
    </w:p>
    <w:p>
      <w:pPr/>
      <w:r>
        <w:t>Стоимость измеряется вектором: elapsed wall time, CPU core-seconds, GPU device-seconds, RSS, storage/transfer, provider requests/tokens, active reviewer time и external wait. Денежная проекция имеет валюту, price basis/time/region и distinguishes billed/marginal/allocated cost. Failed и retried работа учитывается. Shared build считается один раз; invoice и resource projection не складываются как два расхода. Policy welfare, statistical risk и cloud spend не сводятся в единый scalar по умолчанию. Точные engineering-day estimates для этого redesign не обоснованы.</w:t>
      </w:r>
    </w:p>
    <w:p>
      <w:pPr>
        <w:pStyle w:val="Heading1"/>
      </w:pPr>
      <w:bookmarkStart w:id="37" w:name="section_8"/>
      <w:r>
        <w:t>8 Search evaluation и научное сравнение</w:t>
      </w:r>
      <w:bookmarkEnd w:id="37"/>
    </w:p>
    <w:p>
      <w:pPr>
        <w:pStyle w:val="Heading2"/>
      </w:pPr>
      <w:bookmarkStart w:id="38" w:name="E02_ARCH_24"/>
      <w:r>
        <w:t>8.1 E02-ARCH-24 Metric owned stopping</w:t>
      </w:r>
      <w:bookmarkEnd w:id="38"/>
    </w:p>
    <w:p>
      <w:pPr>
        <w:wordWrap w:val="0"/>
      </w:pPr>
      <w:r>
        <w:t xml:space="preserve">B122 рекомендуется выразить через versioned </w:t>
      </w:r>
      <w:r>
        <w:rPr>
          <w:rFonts w:ascii="DejaVu Sans Mono" w:hAnsi="DejaVu Sans Mono"/>
          <w:sz w:val="19"/>
        </w:rPr>
        <w:t>MetricSpec</w:t>
      </w:r>
      <w:r>
        <w:t>: target, unit, direction, valid domain, method, relative origin, absolute/relative tolerance, plateau window и numeric policy. Для сопоставимых finite values:</w:t>
      </w:r>
    </w:p>
    <w:p>
      <w:pPr>
        <w:pStyle w:val="ListBullet"/>
        <w:wordWrap w:val="0"/>
      </w:pPr>
      <w:r>
        <w:rPr>
          <w:rFonts w:ascii="DejaVu Sans Mono" w:hAnsi="DejaVu Sans Mono"/>
          <w:sz w:val="19"/>
        </w:rPr>
        <w:t>gain = direction_sign × (window_best − reference_best)</w:t>
      </w:r>
    </w:p>
    <w:p>
      <w:pPr>
        <w:pStyle w:val="ListBullet"/>
        <w:wordWrap w:val="0"/>
      </w:pPr>
      <w:r>
        <w:rPr>
          <w:rFonts w:ascii="DejaVu Sans Mono" w:hAnsi="DejaVu Sans Mono"/>
          <w:sz w:val="19"/>
        </w:rPr>
        <w:t>threshold = max(abs_tolerance, rel_tolerance × abs(reference_best − relative_origin))</w:t>
      </w:r>
    </w:p>
    <w:p>
      <w:pPr>
        <w:pStyle w:val="ListBullet"/>
        <w:wordWrap w:val="0"/>
      </w:pPr>
      <w:r>
        <w:t xml:space="preserve">meaningful improvement требует </w:t>
      </w:r>
      <w:r>
        <w:rPr>
          <w:rFonts w:ascii="DejaVu Sans Mono" w:hAnsi="DejaVu Sans Mono"/>
          <w:sz w:val="19"/>
        </w:rPr>
        <w:t>gain &gt; threshold</w:t>
      </w:r>
      <w:r>
        <w:t>; равенство недостаточно</w:t>
      </w:r>
    </w:p>
    <w:p>
      <w:pPr/>
      <w:r>
        <w:t>Relative tolerance допустима на ratio scale с осмысленным нулём либо с объявленным origin; иначе использовать absolute tolerance. Values, origin и absolute tolerance меняют units совместно. Window начинается с сохранённого incumbent, поэтому несколько маленьких улучшений могут в сумме превысить threshold.</w:t>
      </w:r>
    </w:p>
    <w:p>
      <w:pPr>
        <w:wordWrap w:val="0"/>
      </w:pPr>
      <w:r>
        <w:t xml:space="preserve">Полное окно без значимого улучшения возвращает </w:t>
      </w:r>
      <w:r>
        <w:rPr>
          <w:rFonts w:ascii="DejaVu Sans Mono" w:hAnsi="DejaVu Sans Mono"/>
          <w:sz w:val="19"/>
        </w:rPr>
        <w:t>optimizer_stalled</w:t>
      </w:r>
      <w:r>
        <w:t xml:space="preserve">, а не </w:t>
      </w:r>
      <w:r>
        <w:rPr>
          <w:rFonts w:ascii="DejaVu Sans Mono" w:hAnsi="DejaVu Sans Mono"/>
          <w:sz w:val="19"/>
        </w:rPr>
        <w:t>scientific_converged</w:t>
      </w:r>
      <w:r>
        <w:t xml:space="preserve">. Cached replay и retry одного evaluation не считаются новыми независимыми evaluations. Неожиданный NaN/Infinity/out-of-domain по умолчанию прекращает evaluation как </w:t>
      </w:r>
      <w:r>
        <w:rPr>
          <w:rFonts w:ascii="DejaVu Sans Mono" w:hAnsi="DejaVu Sans Mono"/>
          <w:sz w:val="19"/>
        </w:rPr>
        <w:t>invalid_result</w:t>
      </w:r>
      <w:r>
        <w:t xml:space="preserve">. Memory/time/compute stop — отдельный </w:t>
      </w:r>
      <w:r>
        <w:rPr>
          <w:rFonts w:ascii="DejaVu Sans Mono" w:hAnsi="DejaVu Sans Mono"/>
          <w:sz w:val="19"/>
        </w:rPr>
        <w:t>resource_ceiling</w:t>
      </w:r>
      <w:r>
        <w:t xml:space="preserve"> с сохранением лучшего valid candidate.</w:t>
      </w:r>
    </w:p>
    <w:p>
      <w:pPr>
        <w:wordWrap w:val="0"/>
      </w:pPr>
      <w:r>
        <w:t xml:space="preserve">Current code уже считает signed gain, но near-zero switch и один общий </w:t>
      </w:r>
      <w:r>
        <w:rPr>
          <w:rFonts w:ascii="DejaVu Sans Mono" w:hAnsi="DejaVu Sans Mono"/>
          <w:sz w:val="19"/>
        </w:rPr>
        <w:t>min_improvement</w:t>
      </w:r>
      <w:r>
        <w:t xml:space="preserve"> не устанавливают metric-owned units/direction/nonfinite contract. Нужно уточнить остаток, а не повторно «исправить знак».</w:t>
      </w:r>
    </w:p>
    <w:p>
      <w:pPr>
        <w:pStyle w:val="Heading2"/>
      </w:pPr>
      <w:bookmarkStart w:id="39" w:name="E02_ARCH_25"/>
      <w:r>
        <w:t>8.2 E02-ARCH-25 Comparison cohort и единственная условная публикация champion</w:t>
      </w:r>
      <w:bookmarkEnd w:id="39"/>
    </w:p>
    <w:p>
      <w:pPr>
        <w:wordWrap w:val="0"/>
      </w:pPr>
      <w:r>
        <w:t xml:space="preserve">B116: evaluator-owned </w:t>
      </w:r>
      <w:r>
        <w:rPr>
          <w:rFonts w:ascii="DejaVu Sans Mono" w:hAnsi="DejaVu Sans Mono"/>
          <w:sz w:val="19"/>
        </w:rPr>
        <w:t>ComparisonProtocol</w:t>
      </w:r>
      <w:r>
        <w:t xml:space="preserve"> заранее объявляет фиксированные измерения, намеренно варьируемые candidate dimensions и проверяемую проекцию результата в общий cohort. </w:t>
      </w:r>
      <w:r>
        <w:rPr>
          <w:rFonts w:ascii="DejaVu Sans Mono" w:hAnsi="DejaVu Sans Mono"/>
          <w:sz w:val="19"/>
        </w:rPr>
        <w:t>ComparisonCohort</w:t>
      </w:r>
      <w:r>
        <w:t xml:space="preserve"> фиксирует target/evaluation units, suite/version, split manifest, допустимые data basis/vintage, metric specs, aggregation/weights, missing/failure policy и randomization plan. Для сравнения policy interventions сохраняются разные arm targets; сам contrast имеет отдельный target и contrast functional. Полный candidate-specific basis, model/intervention и execution seeds сохраняются у каждого </w:t>
      </w:r>
      <w:r>
        <w:rPr>
          <w:rFonts w:ascii="DejaVu Sans Mono" w:hAnsi="DejaVu Sans Mono"/>
          <w:sz w:val="19"/>
        </w:rPr>
        <w:t>BenchmarkEvaluation</w:t>
      </w:r>
      <w:r>
        <w:t xml:space="preserve"> вместе с candidate, run/loop custody, cohort, score vector, validity/completeness, evaluator и </w:t>
      </w:r>
      <w:r>
        <w:rPr>
          <w:rFonts w:ascii="DejaVu Sans Mono" w:hAnsi="DejaVu Sans Mono"/>
          <w:sz w:val="19"/>
        </w:rPr>
        <w:t>exposure_role=search|selection|sealed_validation</w:t>
      </w:r>
      <w:r>
        <w:t>.</w:t>
      </w:r>
    </w:p>
    <w:p>
      <w:pPr/>
      <w:r>
        <w:t>Нельзя включить в общий cohort весь различающийся candidate basis: это сделало бы несравнимыми именно те модели или hyperparameters, которые эксперимент предназначен сравнивать. Нельзя и позволить caller произвольно выбирать fields-to-ignore. Семантическую проекцию проверяет evaluation owner. Разрешённая смена модели при том же target/split/protocol сравнима; смена population, outcome, information set или data vintage требует отдельного принятого comparison design. Eligible units заданы до результатов: candidate failure не уменьшает denominator и не создаёт более лёгкий cohort. Разные seeds допустимы лишь внутри фиксированного seed assignment/replication/coupling plan; lucky-seed selection и удаление failed repeats не сохраняют полный исходный протокол.</w:t>
      </w:r>
    </w:p>
    <w:p>
      <w:pPr>
        <w:wordWrap w:val="0"/>
      </w:pPr>
      <w:r>
        <w:t xml:space="preserve">Champion key — </w:t>
      </w:r>
      <w:r>
        <w:rPr>
          <w:rFonts w:ascii="DejaVu Sans Mono" w:hAnsi="DejaVu Sans Mono"/>
          <w:sz w:val="19"/>
        </w:rPr>
        <w:t>(comparison_scope_id, cohort_ref)</w:t>
      </w:r>
      <w:r>
        <w:t>. По умолчанию scope остаётся существующим loop scope; совместное использование между loops требует явного решения. Execution loop ID сам по себе не меняет научную сравнимость, но чужой evaluation нельзя подставить в другой custody context.</w:t>
      </w:r>
    </w:p>
    <w:p>
      <w:pPr>
        <w:wordWrap w:val="0"/>
      </w:pPr>
      <w:r>
        <w:t xml:space="preserve">При смене cohort прежний champion сохраняется. Для конкретной новой comparison request можно заново оценить старый champion и candidate под новым cohort; это actual bridge evaluation с заданным бюджетом, не численная конверсия старого score. Score 0.90 на старом split не побеждает 0.85 на новом по общему имени metric. Existing no-suite </w:t>
      </w:r>
      <w:r>
        <w:rPr>
          <w:rFonts w:ascii="DejaVu Sans Mono" w:hAnsi="DejaVu Sans Mono"/>
          <w:sz w:val="19"/>
        </w:rPr>
        <w:t>claim_adjudication</w:t>
      </w:r>
      <w:r>
        <w:t xml:space="preserve"> exception либо получает отдельный явный protocol/cohort, либо удаляется, если не используется.</w:t>
      </w:r>
    </w:p>
    <w:p>
      <w:pPr>
        <w:wordWrap w:val="0"/>
      </w:pPr>
      <w:r>
        <w:t xml:space="preserve">B117: expensive evaluation выполняется вне critical section. Read–compare–expected-revision–publish образуют одну owner transition. Request содержит cohort/scope, expected revision, candidate/evaluation/rule refs, operation ID/digest. Результат: </w:t>
      </w:r>
      <w:r>
        <w:rPr>
          <w:rFonts w:ascii="DejaVu Sans Mono" w:hAnsi="DejaVu Sans Mono"/>
          <w:sz w:val="19"/>
        </w:rPr>
        <w:t>promoted</w:t>
      </w:r>
      <w:r>
        <w:t xml:space="preserve">, </w:t>
      </w:r>
      <w:r>
        <w:rPr>
          <w:rFonts w:ascii="DejaVu Sans Mono" w:hAnsi="DejaVu Sans Mono"/>
          <w:sz w:val="19"/>
        </w:rPr>
        <w:t>not_better</w:t>
      </w:r>
      <w:r>
        <w:t xml:space="preserve">, </w:t>
      </w:r>
      <w:r>
        <w:rPr>
          <w:rFonts w:ascii="DejaVu Sans Mono" w:hAnsi="DejaVu Sans Mono"/>
          <w:sz w:val="19"/>
        </w:rPr>
        <w:t>conflict</w:t>
      </w:r>
      <w:r>
        <w:t xml:space="preserve">, </w:t>
      </w:r>
      <w:r>
        <w:rPr>
          <w:rFonts w:ascii="DejaVu Sans Mono" w:hAnsi="DejaVu Sans Mono"/>
          <w:sz w:val="19"/>
        </w:rPr>
        <w:t>rejected</w:t>
      </w:r>
      <w:r>
        <w:t>. Retry конфликтной публикации перечитывает champion и пересравнивает без повторного дорогого evaluation; unknown commit сначала восстанавливается по operation ID.</w:t>
      </w:r>
    </w:p>
    <w:p>
      <w:pPr>
        <w:wordWrap w:val="0"/>
      </w:pPr>
      <w:r>
        <w:t xml:space="preserve">Существующий POSIX flock уже обеспечивает локальную per-loop основу. Его нужно сохранить для соответствующего bounded scope и закрыть bypass publishers. Если несколько loops разделяют один pointer, отдельные per-loop locks недостаточны: им нужен общий pointer-key lock/transaction. В strict protected slice используется E02-ARCH-08 admission primitive, а научный comparator остаётся в </w:t>
      </w:r>
      <w:r>
        <w:rPr>
          <w:rFonts w:ascii="DejaVu Sans Mono" w:hAnsi="DejaVu Sans Mono"/>
          <w:sz w:val="19"/>
        </w:rPr>
        <w:t>ChampionRegistry</w:t>
      </w:r>
      <w:r>
        <w:t>. Не вводится вторая отдельная authoritative champion database.</w:t>
      </w:r>
    </w:p>
    <w:p>
      <w:pPr/>
      <w:r>
        <w:t>Проверка конкуренции: B=2 и C=3 одновременно читают A=1. C publishes first; B получает conflict, видит C и не перезаписывает его. Atomic rename без совместного compare не решает эту гонку. Локальный flock не доказывает cross-host linearizability.</w:t>
      </w:r>
    </w:p>
    <w:p>
      <w:pPr>
        <w:pStyle w:val="Heading2"/>
      </w:pPr>
      <w:bookmarkStart w:id="40" w:name="E02_ARCH_26"/>
      <w:r>
        <w:t>8.3 E02-ARCH-26 Immutable completed runs</w:t>
      </w:r>
      <w:bookmarkEnd w:id="40"/>
    </w:p>
    <w:p>
      <w:pPr>
        <w:wordWrap w:val="0"/>
      </w:pPr>
      <w:r>
        <w:t xml:space="preserve">B133: terminal </w:t>
      </w:r>
      <w:r>
        <w:rPr>
          <w:rFonts w:ascii="DejaVu Sans Mono" w:hAnsi="DejaVu Sans Mono"/>
          <w:sz w:val="19"/>
        </w:rPr>
        <w:t>run_id</w:t>
      </w:r>
      <w:r>
        <w:t xml:space="preserve"> имеет один неизменяемый result ref и exact config/input/code/environment/seed-plan bindings. Same run ID плюс те же bytes/view — idempotent; тот же ID с другим результатом — </w:t>
      </w:r>
      <w:r>
        <w:rPr>
          <w:rFonts w:ascii="DejaVu Sans Mono" w:hAnsi="DejaVu Sans Mono"/>
          <w:sz w:val="19"/>
        </w:rPr>
        <w:t>run_conflict</w:t>
      </w:r>
      <w:r>
        <w:t>. Жизненный цикл до completion можно версионировать отдельно.</w:t>
      </w:r>
    </w:p>
    <w:p>
      <w:pPr/>
      <w:r>
        <w:t>Если нужны mutable labels, они являются отдельной alias relation с revision/predecessor. Cache key использует exact artifact/view/schema/rule, а не только run ID. Warm/cold чтение даёт один смысл. Eviction меняет latency, но не replay. Cached authorization/currentness не становится бессрочным разрешением.</w:t>
      </w:r>
    </w:p>
    <w:p>
      <w:pPr>
        <w:pStyle w:val="Heading2"/>
      </w:pPr>
      <w:bookmarkStart w:id="41" w:name="E02_ARCH_27"/>
      <w:r>
        <w:t>8.4 E02-ARCH-27 Temporal forecast и единый evaluation protocol</w:t>
      </w:r>
      <w:bookmarkEnd w:id="41"/>
    </w:p>
    <w:p>
      <w:pPr>
        <w:wordWrap w:val="0"/>
      </w:pPr>
      <w:r>
        <w:t xml:space="preserve">B169: forecast имеет tagged variant </w:t>
      </w:r>
      <w:r>
        <w:rPr>
          <w:rFonts w:ascii="DejaVu Sans Mono" w:hAnsi="DejaVu Sans Mono"/>
          <w:sz w:val="19"/>
        </w:rPr>
        <w:t>trajectory</w:t>
      </w:r>
      <w:r>
        <w:t xml:space="preserve">, </w:t>
      </w:r>
      <w:r>
        <w:rPr>
          <w:rFonts w:ascii="DejaVu Sans Mono" w:hAnsi="DejaVu Sans Mono"/>
          <w:sz w:val="19"/>
        </w:rPr>
        <w:t>constant_forecast</w:t>
      </w:r>
      <w:r>
        <w:t xml:space="preserve">, </w:t>
      </w:r>
      <w:r>
        <w:rPr>
          <w:rFonts w:ascii="DejaVu Sans Mono" w:hAnsi="DejaVu Sans Mono"/>
          <w:sz w:val="19"/>
        </w:rPr>
        <w:t>horizon_aggregate</w:t>
      </w:r>
      <w:r>
        <w:t>. Context связывает target/unit/population/intervention, model, origin, information cutoff, source available-as-of, явные horizon coordinates/calendar и boundary rules.</w:t>
      </w:r>
    </w:p>
    <w:p>
      <w:pPr>
        <w:wordWrap w:val="0"/>
      </w:pPr>
      <w:r>
        <w:t xml:space="preserve">Trajectory содержит значения с time coordinates; positional alignment недостаточен. Constant forecast требует producer declaration и support interval: постоянный point functional не означает постоянную uncertainty или perfect temporal correlation. Aggregate имеет operator, support interval и weights. Годовой scalar effect нельзя повторить в месячные levels. В текущем path уже есть </w:t>
      </w:r>
      <w:r>
        <w:rPr>
          <w:rFonts w:ascii="DejaVu Sans Mono" w:hAnsi="DejaVu Sans Mono"/>
          <w:sz w:val="19"/>
        </w:rPr>
        <w:t>ForecastProfileContract</w:t>
      </w:r>
      <w:r>
        <w:t xml:space="preserve"> и producer-declared constant gate; его следует использовать, а не описывать весь scalar path как безусловно ошибочный.</w:t>
      </w:r>
    </w:p>
    <w:p>
      <w:pPr>
        <w:wordWrap w:val="0"/>
      </w:pPr>
      <w:r>
        <w:t xml:space="preserve">Рекомендую один узкий </w:t>
      </w:r>
      <w:r>
        <w:rPr>
          <w:rFonts w:ascii="DejaVu Sans Mono" w:hAnsi="DejaVu Sans Mono"/>
          <w:sz w:val="19"/>
        </w:rPr>
        <w:t>HistoricalValidationProtocol</w:t>
      </w:r>
      <w:r>
        <w:t xml:space="preserve"> реального producer. Для вопроса об одном горизонте достаточно fixed-origin holdout; для повторной выдачи прогнозов — explicit rolling origins с объявленными fit/update/refit, training window, availability cutoff, outcome vintage, missingness/weighting и exposure roles. Rolling refits не включаются незаметно ради более красивой оценки.</w:t>
      </w:r>
    </w:p>
    <w:p>
      <w:pPr/>
      <w:r>
        <w:t>Score соответствует functional: mean — squared error/RMSE, median — absolute error/MAE, quantile — pinball; predictive law допускает proper score вроде CRPS при реальной реализации. Confidence interval среднего causal effect не оценивается как predictive interval будущего GDP. Marginal 95% intervals не становятся simultaneous 95% path band [В12].</w:t>
      </w:r>
    </w:p>
    <w:p>
      <w:pPr>
        <w:wordWrap w:val="0"/>
      </w:pPr>
      <w:r>
        <w:t xml:space="preserve">Все transforms/scalers/calibration selection используют только доступную на origin информацию. Поздняя revision даёт retrospective revised-data profile, не ex-ante forecast. Overlapping horizons и повторные outcomes требуют dependence-aware inference. Просмотр validation outputs снимает seal; повторный запуск не восстанавливает независимость. Нет mature outcome — </w:t>
      </w:r>
      <w:r>
        <w:rPr>
          <w:rFonts w:ascii="DejaVu Sans Mono" w:hAnsi="DejaVu Sans Mono"/>
          <w:sz w:val="19"/>
        </w:rPr>
        <w:t>pending_outcome</w:t>
      </w:r>
      <w:r>
        <w:t>, а не failed forecast.</w:t>
      </w:r>
    </w:p>
    <w:p>
      <w:pPr>
        <w:pStyle w:val="Heading2"/>
      </w:pPr>
      <w:bookmarkStart w:id="42" w:name="E02_ARCH_28"/>
      <w:r>
        <w:t>8.5 E02-ARCH-28 Реальные repetitions и seed lineage</w:t>
      </w:r>
      <w:bookmarkEnd w:id="42"/>
    </w:p>
    <w:p>
      <w:pPr>
        <w:wordWrap w:val="0"/>
      </w:pPr>
      <w:r>
        <w:t xml:space="preserve">B170: заменить неоднозначное </w:t>
      </w:r>
      <w:r>
        <w:rPr>
          <w:rFonts w:ascii="DejaVu Sans Mono" w:hAnsi="DejaVu Sans Mono"/>
          <w:sz w:val="19"/>
        </w:rPr>
        <w:t>n_simulation_runs</w:t>
      </w:r>
      <w:r>
        <w:t xml:space="preserve"> на </w:t>
      </w:r>
      <w:r>
        <w:rPr>
          <w:rFonts w:ascii="DejaVu Sans Mono" w:hAnsi="DejaVu Sans Mono"/>
          <w:sz w:val="19"/>
        </w:rPr>
        <w:t>RepetitionPlan</w:t>
      </w:r>
      <w:r>
        <w:t xml:space="preserve"> с mode, requested count, unit of replication, seed plan, estimator и completion requirement. Начальный adapter mode — </w:t>
      </w:r>
      <w:r>
        <w:rPr>
          <w:rFonts w:ascii="DejaVu Sans Mono" w:hAnsi="DejaVu Sans Mono"/>
          <w:sz w:val="19"/>
        </w:rPr>
        <w:t>single_execution</w:t>
      </w:r>
      <w:r>
        <w:t xml:space="preserve">, count=1. Значение больше одного должно дать </w:t>
      </w:r>
      <w:r>
        <w:rPr>
          <w:rFonts w:ascii="DejaVu Sans Mono" w:hAnsi="DejaVu Sans Mono"/>
          <w:sz w:val="19"/>
        </w:rPr>
        <w:t>unsupported_repetition_mode</w:t>
      </w:r>
      <w:r>
        <w:t xml:space="preserve"> до dispatch, пока реальный owner не реализует outer repetition. Existing positive numeric validation count не доказывает выполнение нескольких запусков.</w:t>
      </w:r>
    </w:p>
    <w:p>
      <w:pPr>
        <w:wordWrap w:val="0"/>
      </w:pPr>
      <w:r>
        <w:rPr>
          <w:rFonts w:ascii="DejaVu Sans Mono" w:hAnsi="DejaVu Sans Mono"/>
          <w:sz w:val="19"/>
        </w:rPr>
        <w:t>provided_replicates</w:t>
      </w:r>
      <w:r>
        <w:t xml:space="preserve"> — отдельные immutable evidence inputs. </w:t>
      </w:r>
      <w:r>
        <w:rPr>
          <w:rFonts w:ascii="DejaVu Sans Mono" w:hAnsi="DejaVu Sans Mono"/>
          <w:sz w:val="19"/>
        </w:rPr>
        <w:t>outer_independent</w:t>
      </w:r>
      <w:r>
        <w:t xml:space="preserve"> и </w:t>
      </w:r>
      <w:r>
        <w:rPr>
          <w:rFonts w:ascii="DejaVu Sans Mono" w:hAnsi="DejaVu Sans Mono"/>
          <w:sz w:val="19"/>
        </w:rPr>
        <w:t>paired_common_random_numbers</w:t>
      </w:r>
      <w:r>
        <w:t xml:space="preserve"> требуют явного support. Execution manifest различает requested/admitted/started/completed-valid/invalid/failed/cancelled/reused units; attempt не равен replicate. Stream path определяется replicate identity, а не порядком worker scheduling. Paired alternatives разделяют coupling ID; retries сохраняют unit/seed.</w:t>
      </w:r>
    </w:p>
    <w:p>
      <w:pPr/>
      <w:r>
        <w:t>Семь cache reads одного output не семь независимых прогонов. Разные seeds на одних observational data не создают новые data samples. Internal draws/ESS учитываются отдельно от outer repetitions. Partial plan сохраняет denominator и не превращается в complete inference после удаления failures.</w:t>
      </w:r>
    </w:p>
    <w:p>
      <w:pPr>
        <w:pStyle w:val="Heading2"/>
      </w:pPr>
      <w:bookmarkStart w:id="43" w:name="E02_ARCH_29"/>
      <w:r>
        <w:t>8.6 E02-ARCH-29 Агрегация с явным target и весами</w:t>
      </w:r>
      <w:bookmarkEnd w:id="43"/>
    </w:p>
    <w:p>
      <w:pPr>
        <w:wordWrap w:val="0"/>
      </w:pPr>
      <w:r>
        <w:t xml:space="preserve">B171: публиковать именованные micro и, где полезно, stable-scenario macro metrics. Micro RMSE равен </w:t>
      </w:r>
      <w:r>
        <w:rPr>
          <w:rFonts w:ascii="DejaVu Sans Mono" w:hAnsi="DejaVu Sans Mono"/>
          <w:sz w:val="19"/>
        </w:rPr>
        <w:t>sqrt(sum(w×e²)/sum(w))</w:t>
      </w:r>
      <w:r>
        <w:t xml:space="preserve">; macro mean scenario RMSE равен </w:t>
      </w:r>
      <w:r>
        <w:rPr>
          <w:rFonts w:ascii="DejaVu Sans Mono" w:hAnsi="DejaVu Sans Mono"/>
          <w:sz w:val="19"/>
        </w:rPr>
        <w:t>sum(v_s×RMSE_s)/sum(v_s)</w:t>
      </w:r>
      <w:r>
        <w:t xml:space="preserve">. Это не одинаковые формулы. При A=(0), B=(2,2,2) micro RMSE равен </w:t>
      </w:r>
      <w:r>
        <w:rPr>
          <w:rFonts w:ascii="DejaVu Sans Mono" w:hAnsi="DejaVu Sans Mono"/>
          <w:sz w:val="19"/>
        </w:rPr>
        <w:t>sqrt(3)</w:t>
      </w:r>
      <w:r>
        <w:t>, equal-scenario macro равен 1.</w:t>
      </w:r>
    </w:p>
    <w:p>
      <w:pPr/>
      <w:r>
        <w:t>Sufficient statistics хранят eligible/valid/missing/invalid counts, weight sum, weighted absolute/squared errors. Technical shard не scenario. Candidate-specific failures не уменьшают его eligible denominator для улучшения rank. Pooling требует одинаковых quantity/units/functional и заранее выбранного comparison target. Dollars и percentage points не складываются через общий RMSE.</w:t>
      </w:r>
    </w:p>
    <w:p>
      <w:pPr>
        <w:wordWrap w:val="0"/>
      </w:pPr>
      <w:r>
        <w:t xml:space="preserve">Default micro допустим для явного однородного observation-level target. Между юрисдикциями, population groups или существенными scenarios выбор equal-person, equal-jurisdiction и других weights является содержательным решением. До него нет скрытого primary scalar winner. </w:t>
      </w:r>
      <w:r>
        <w:rPr>
          <w:rFonts w:ascii="DejaVu Sans Mono" w:hAnsi="DejaVu Sans Mono"/>
          <w:sz w:val="19"/>
        </w:rPr>
        <w:t>zero_weight</w:t>
      </w:r>
      <w:r>
        <w:t xml:space="preserve">, </w:t>
      </w:r>
      <w:r>
        <w:rPr>
          <w:rFonts w:ascii="DejaVu Sans Mono" w:hAnsi="DejaVu Sans Mono"/>
          <w:sz w:val="19"/>
        </w:rPr>
        <w:t>no_eligible_outcomes</w:t>
      </w:r>
      <w:r>
        <w:t xml:space="preserve">, </w:t>
      </w:r>
      <w:r>
        <w:rPr>
          <w:rFonts w:ascii="DejaVu Sans Mono" w:hAnsi="DejaVu Sans Mono"/>
          <w:sz w:val="19"/>
        </w:rPr>
        <w:t>unknown_primary</w:t>
      </w:r>
      <w:r>
        <w:t xml:space="preserve">, </w:t>
      </w:r>
      <w:r>
        <w:rPr>
          <w:rFonts w:ascii="DejaVu Sans Mono" w:hAnsi="DejaVu Sans Mono"/>
          <w:sz w:val="19"/>
        </w:rPr>
        <w:t>missingness_bias</w:t>
      </w:r>
      <w:r>
        <w:t xml:space="preserve">, </w:t>
      </w:r>
      <w:r>
        <w:rPr>
          <w:rFonts w:ascii="DejaVu Sans Mono" w:hAnsi="DejaVu Sans Mono"/>
          <w:sz w:val="19"/>
        </w:rPr>
        <w:t>incomplete_summary</w:t>
      </w:r>
      <w:r>
        <w:t xml:space="preserve"> — typed outcomes.</w:t>
      </w:r>
    </w:p>
    <w:p>
      <w:pPr>
        <w:pStyle w:val="Heading2"/>
      </w:pPr>
      <w:bookmarkStart w:id="44" w:name="E02_ARCH_30"/>
      <w:r>
        <w:t>8.7 E02-ARCH-30 Economics profiles objective и constraints</w:t>
      </w:r>
      <w:bookmarkEnd w:id="44"/>
    </w:p>
    <w:p>
      <w:pPr/>
      <w:r>
        <w:t>LA-004: fiscal и labor/economic реализации оставить разными versioned model profiles, пока matched contract table не докажет эквивалентность. Общими могут стать только dimensionally и behaviorally одинаковые accounting primitives. Profile описывает population, currency/price year, nominal/real, state schema, stocks/flows, timestep, update order, tax base/schedule, behavioral response, budget identity и RNG/reset/continuation. Совпадение названия класса не оправдывает объединение моделей.</w:t>
      </w:r>
    </w:p>
    <w:p>
      <w:pPr>
        <w:wordWrap w:val="0"/>
      </w:pPr>
      <w:r>
        <w:t xml:space="preserve">LA-035: использовать уже существующий </w:t>
      </w:r>
      <w:r>
        <w:rPr>
          <w:rFonts w:ascii="DejaVu Sans Mono" w:hAnsi="DejaVu Sans Mono"/>
          <w:sz w:val="19"/>
        </w:rPr>
        <w:t>normalized_income_budget_loss</w:t>
      </w:r>
      <w:r>
        <w:t xml:space="preserve"> как явно названный baseline. Он работает с </w:t>
      </w:r>
      <w:r>
        <w:rPr>
          <w:rFonts w:ascii="DejaVu Sans Mono" w:hAnsi="DejaVu Sans Mono"/>
          <w:sz w:val="19"/>
        </w:rPr>
        <w:t>GlobalState</w:t>
      </w:r>
      <w:r>
        <w:t xml:space="preserve">, income normalization, normalized budget penalty и finite checks; это не автоматически objective </w:t>
      </w:r>
      <w:r>
        <w:rPr>
          <w:rFonts w:ascii="DejaVu Sans Mono" w:hAnsi="DejaVu Sans Mono"/>
          <w:sz w:val="19"/>
        </w:rPr>
        <w:t>EconomicState</w:t>
      </w:r>
      <w:r>
        <w:t xml:space="preserve"> GDP/welfare. Legacy </w:t>
      </w:r>
      <w:r>
        <w:rPr>
          <w:rFonts w:ascii="DejaVu Sans Mono" w:hAnsi="DejaVu Sans Mono"/>
          <w:sz w:val="19"/>
        </w:rPr>
        <w:t>policy_loss_fn</w:t>
      </w:r>
      <w:r>
        <w:t xml:space="preserve"> alias можно удалить после проверки retained callers.</w:t>
      </w:r>
    </w:p>
    <w:p>
      <w:pPr>
        <w:wordWrap w:val="0"/>
      </w:pPr>
      <w:r>
        <w:t xml:space="preserve">Outcome vector, hard constraints и </w:t>
      </w:r>
      <w:r>
        <w:rPr>
          <w:rFonts w:ascii="DejaVu Sans Mono" w:hAnsi="DejaVu Sans Mono"/>
          <w:sz w:val="19"/>
        </w:rPr>
        <w:t>ObjectiveProfile</w:t>
      </w:r>
      <w:r>
        <w:t xml:space="preserve"> должны быть отдельными. Profile задаёт quantities/units, population/weights, horizon/discounting, transformations/normalization, допустимый scalarization и policy owner. Без принятого objective доступны outcomes и feasible alternatives; generic welfare-maximization или scalar winner не заявляются. Penalty </w:t>
      </w:r>
      <w:r>
        <w:rPr>
          <w:rFonts w:ascii="DejaVu Sans Mono" w:hAnsi="DejaVu Sans Mono"/>
          <w:sz w:val="19"/>
        </w:rPr>
        <w:t>10^6</w:t>
      </w:r>
      <w:r>
        <w:t xml:space="preserve"> не заменяет hard constraint. CRRA или reward используемого экспериментального trainer не означает, что пользователь выбрал такую социальную risk preference.</w:t>
      </w:r>
    </w:p>
    <w:p>
      <w:pPr>
        <w:pStyle w:val="Heading2"/>
      </w:pPr>
      <w:bookmarkStart w:id="45" w:name="E02_ARCH_31"/>
      <w:r>
        <w:t>8.8 E02-ARCH-31 Rollout и фактическое обучение</w:t>
      </w:r>
      <w:bookmarkEnd w:id="45"/>
    </w:p>
    <w:p>
      <w:pPr>
        <w:wordWrap w:val="0"/>
      </w:pPr>
      <w:r>
        <w:t xml:space="preserve">LA-023: различить </w:t>
      </w:r>
      <w:r>
        <w:rPr>
          <w:rFonts w:ascii="DejaVu Sans Mono" w:hAnsi="DejaVu Sans Mono"/>
          <w:sz w:val="19"/>
        </w:rPr>
        <w:t>rollout_evaluation</w:t>
      </w:r>
      <w:r>
        <w:t xml:space="preserve"> и </w:t>
      </w:r>
      <w:r>
        <w:rPr>
          <w:rFonts w:ascii="DejaVu Sans Mono" w:hAnsi="DejaVu Sans Mono"/>
          <w:sz w:val="19"/>
        </w:rPr>
        <w:t>train_policy</w:t>
      </w:r>
      <w:r>
        <w:t xml:space="preserve"> по domain capability. Существующий native Economics-only adapter/trainer сохранить. Текущий </w:t>
      </w:r>
      <w:r>
        <w:rPr>
          <w:rFonts w:ascii="DejaVu Sans Mono" w:hAnsi="DejaVu Sans Mono"/>
          <w:sz w:val="19"/>
        </w:rPr>
        <w:t>PolisySimulator.train</w:t>
      </w:r>
      <w:r>
        <w:t xml:space="preserve"> уже вызывает </w:t>
      </w:r>
      <w:r>
        <w:rPr>
          <w:rFonts w:ascii="DejaVu Sans Mono" w:hAnsi="DejaVu Sans Mono"/>
          <w:sz w:val="19"/>
        </w:rPr>
        <w:t>EconomicsTrainingAdapter.train</w:t>
      </w:r>
      <w:r>
        <w:t>; предложение удалить его как «нулевой train» было бы основано на устаревшей premise.</w:t>
      </w:r>
    </w:p>
    <w:p>
      <w:pPr/>
      <w:r>
        <w:t>Rollout result сохраняет unchanged policy, trajectories/rewards/actions, episode counts, seed/reset/continuation и stop reason. Training plan/result связывают trainer profile, domain scope, environment/data, optimizer, initial/final parameter refs, learned state, steps, update diagnostics, checkpoint и независимый evaluation plan.</w:t>
      </w:r>
    </w:p>
    <w:p>
      <w:pPr>
        <w:wordWrap w:val="0"/>
      </w:pPr>
      <w:r>
        <w:t xml:space="preserve">Для поддержанного nondegenerate acceptance case требуется изменение parameter digest и последующего выбранного action, которое сохраняется после persisted reload. Это доказывает механизм обновления, но ещё не generalization или policy improvement. Случайная мутация weights не обучение. Неподдержанный domain получает </w:t>
      </w:r>
      <w:r>
        <w:rPr>
          <w:rFonts w:ascii="DejaVu Sans Mono" w:hAnsi="DejaVu Sans Mono"/>
          <w:sz w:val="19"/>
        </w:rPr>
        <w:t>training_not_supported</w:t>
      </w:r>
      <w:r>
        <w:t xml:space="preserve"> до dispatch; reward collection с нулём trainer calls не может вернуть </w:t>
      </w:r>
      <w:r>
        <w:rPr>
          <w:rFonts w:ascii="DejaVu Sans Mono" w:hAnsi="DejaVu Sans Mono"/>
          <w:sz w:val="19"/>
        </w:rPr>
        <w:t>trained=true</w:t>
      </w:r>
      <w:r>
        <w:t>.</w:t>
      </w:r>
    </w:p>
    <w:p>
      <w:pPr>
        <w:pStyle w:val="Heading2"/>
      </w:pPr>
      <w:bookmarkStart w:id="46" w:name="E02_ARCH_32"/>
      <w:r>
        <w:t>8.9 E02-ARCH-32 Честный RDD до расширения метода</w:t>
      </w:r>
      <w:bookmarkEnd w:id="46"/>
    </w:p>
    <w:p>
      <w:pPr>
        <w:wordWrap w:val="0"/>
      </w:pPr>
      <w:r>
        <w:t xml:space="preserve">B210: baseline возвращает conventional uncorrected estimate с </w:t>
      </w:r>
      <w:r>
        <w:rPr>
          <w:rFonts w:ascii="DejaVu Sans Mono" w:hAnsi="DejaVu Sans Mono"/>
          <w:sz w:val="19"/>
        </w:rPr>
        <w:t>correction_status=not_computed</w:t>
      </w:r>
      <w:r>
        <w:t xml:space="preserve"> и ограниченным inference. Robust bias correction добавляется только как полный estimator-plus-variance profile под конкретный research design, bandwidth и assumptions. Исправить point estimate и сохранить conventional variance нельзя называть robust bias-corrected inference [В13].</w:t>
      </w:r>
    </w:p>
    <w:p>
      <w:pPr/>
      <w:r>
        <w:t>Метод/variance/bandwidth/kernel/polynomial/bias order и design должны быть зафиксированы. Unsupported corrected label удаляется без compatibility window. Derived report можно пересобрать из retained inputs, сохранив исходный report. Решение реализовать более сложный профиль оправдывается нужным исследовательским случаем, а не закрытием слова corrected в карточке.</w:t>
      </w:r>
    </w:p>
    <w:p>
      <w:pPr>
        <w:pStyle w:val="Heading2"/>
      </w:pPr>
      <w:bookmarkStart w:id="47" w:name="E02_ARCH_33"/>
      <w:r>
        <w:t>8.10 E02-ARCH-33 Robustness и полный denominator</w:t>
      </w:r>
      <w:bookmarkEnd w:id="47"/>
    </w:p>
    <w:p>
      <w:pPr/>
      <w:r>
        <w:t>B106: closed immutable scenario manifest содержит scenario IDs, population definition, generator/version, declared count и sampling design, если он есть. До display dedupe/top-k вычисляются mutually exclusive final counts: valid pass, valid violation, missing, invalid, failed, unattempted. Их сумма равна declared count; retries не увеличивают scenario count. Violation occurrences и unique violated scenarios раздельны.</w:t>
      </w:r>
    </w:p>
    <w:p>
      <w:pPr/>
      <w:r>
        <w:t>Полный finite-set robustness claim возможен только при complete valid execution всего объявленного множества. При 100 scenarios, 98 pass и 2 violations pass fraction равна 0.98 независимо от числа показанных примеров. При остановке после 10 pass из 100 coverage=0.10, observed pass=1; full-set pass fraction не установлен. Одна observed violation может опровергнуть universal pass без выполнения остальных, но отсутствие violation в неполной части не доказывает universal pass.</w:t>
      </w:r>
    </w:p>
    <w:p>
      <w:pPr>
        <w:wordWrap w:val="0"/>
      </w:pPr>
      <w:r>
        <w:t xml:space="preserve">Sampling может быть дешевле, если заранее заданы selection design/probabilities и подходящий estimator. Adaptive convenience subset не представляет всю population автоматически. Пустое declared set даёт undefined, а не идеальный robustness score. Если declared&gt;0, но tested_valid=0, observed pass fraction также undefined с </w:t>
      </w:r>
      <w:r>
        <w:rPr>
          <w:rFonts w:ascii="DejaVu Sans Mono" w:hAnsi="DejaVu Sans Mono"/>
          <w:sz w:val="19"/>
        </w:rPr>
        <w:t>no_valid_scenarios</w:t>
      </w:r>
      <w:r>
        <w:t>; all-failed или unattempted population не имеет наблюдаемой доли успеха. Stored enumeration использует E02-ARCH-12 completeness contract, но даже полный manifest не доказывает, что он исчерпал внешний мир.</w:t>
      </w:r>
    </w:p>
    <w:p>
      <w:pPr>
        <w:pStyle w:val="Heading2"/>
      </w:pPr>
      <w:bookmarkStart w:id="48" w:name="E02_ARCH_34"/>
      <w:r>
        <w:t>8.11 E02-ARCH-34 Readiness restrictions и live applicability</w:t>
      </w:r>
      <w:bookmarkEnd w:id="48"/>
    </w:p>
    <w:p>
      <w:pPr>
        <w:wordWrap w:val="0"/>
      </w:pPr>
      <w:r>
        <w:t xml:space="preserve">LA-055: убрать неоднозначность </w:t>
      </w:r>
      <w:r>
        <w:rPr>
          <w:rFonts w:ascii="DejaVu Sans Mono" w:hAnsi="DejaVu Sans Mono"/>
          <w:sz w:val="19"/>
        </w:rPr>
        <w:t>promotion_allowed</w:t>
      </w:r>
      <w:r>
        <w:t xml:space="preserve"> через три объекта: advisory </w:t>
      </w:r>
      <w:r>
        <w:rPr>
          <w:rFonts w:ascii="DejaVu Sans Mono" w:hAnsi="DejaVu Sans Mono"/>
          <w:sz w:val="19"/>
        </w:rPr>
        <w:t>ReadinessAssessment</w:t>
      </w:r>
      <w:r>
        <w:t xml:space="preserve">, binding </w:t>
      </w:r>
      <w:r>
        <w:rPr>
          <w:rFonts w:ascii="DejaVu Sans Mono" w:hAnsi="DejaVu Sans Mono"/>
          <w:sz w:val="19"/>
        </w:rPr>
        <w:t>Restrictions</w:t>
      </w:r>
      <w:r>
        <w:t xml:space="preserve">, final </w:t>
      </w:r>
      <w:r>
        <w:rPr>
          <w:rFonts w:ascii="DejaVu Sans Mono" w:hAnsi="DejaVu Sans Mono"/>
          <w:sz w:val="19"/>
        </w:rPr>
        <w:t>ActionDecision</w:t>
      </w:r>
      <w:r>
        <w:t>. Restriction связывает ID, issuer, reason, scope/action/basis, validity и currentness. True в старом boolean не предоставляет final authority. Известный explicit false консервативно сохраняется как restriction, пока producer meaning не установлен. Если полный supported caller census докажет advisory meaning, поле явно переименовывается в hint, а настоящие restrictions остаются отдельными.</w:t>
      </w:r>
    </w:p>
    <w:p>
      <w:pPr/>
      <w:r>
        <w:t>Текущий evaluator уже проверяет empirical certificate→durable identity→validity и сохраняет false-veto для R3/R4. Отдельно нужно решить R2 owner-signoff precedence: signoff может удовлетворить readiness requirement, но не стирает независимо применимый институциональный запрет. Override, если он допустим, является отдельным разрешением exact restriction/action/basis с issuer capability и expiry, а не boolean toggle.</w:t>
      </w:r>
    </w:p>
    <w:p>
      <w:pPr/>
      <w:r>
        <w:t>Companion LA-055: первый DDM02 claim ограничить подтверждаемой local/replay gate semantics. Operated live consumer в scoped census не установлен. Live profile добавляется только для названного action/consumer с feed owner, source identity, event/ingestion time, cadence/max age, gap/out-of-order/correction, source authority, retention, maintenance owner и failure behavior. Stale/missing feed даёт unknown/deny. Good static R4 не предоставляет отсутствующие feed и release authority. LA-054 checker-bound validity остаётся самостоятельным prerequisite.</w:t>
      </w:r>
    </w:p>
    <w:p>
      <w:pPr>
        <w:pStyle w:val="Heading2"/>
      </w:pPr>
      <w:bookmarkStart w:id="49" w:name="E02_ARCH_41"/>
      <w:r>
        <w:t>8.12 E02-ARCH-41 B111 полный objective basis</w:t>
      </w:r>
      <w:bookmarkEnd w:id="49"/>
    </w:p>
    <w:p>
      <w:pPr>
        <w:wordWrap w:val="0"/>
      </w:pPr>
      <w:r>
        <w:t xml:space="preserve">B111 требует источника полной системы objectives независимо от сохранившихся candidate outputs. Existing objective/config semantic owner выдаёт immutable </w:t>
      </w:r>
      <w:r>
        <w:rPr>
          <w:rFonts w:ascii="DejaVu Sans Mono" w:hAnsi="DejaVu Sans Mono"/>
          <w:sz w:val="19"/>
        </w:rPr>
        <w:t>OptimizerObjectiveSpec</w:t>
      </w:r>
      <w:r>
        <w:t xml:space="preserve">: issuer/provenance/adoption scope, ordered MetricSpec axes, direction, canonical unit/conversion, role </w:t>
      </w:r>
      <w:r>
        <w:rPr>
          <w:rFonts w:ascii="DejaVu Sans Mono" w:hAnsi="DejaVu Sans Mono"/>
          <w:sz w:val="19"/>
        </w:rPr>
        <w:t>dominance_required|diagnostic_optional|constraint</w:t>
      </w:r>
      <w:r>
        <w:t>, requiredness, feasibility и dominance relation. Registry, report и VOI разрешают один exact basis ref. Research configuration может иметь честный research-only standing; для институционального policy claim нужны его собственные полномочия.</w:t>
      </w:r>
    </w:p>
    <w:p>
      <w:pPr/>
      <w:r>
        <w:t>Default dominance — exact product order по finite canonical required coordinates: кандидат не хуже по каждой direction и строго лучше хотя бы по одной. Это не вводит welfare weights, но выбор самих objectives всё равно содержателен. Approximate/noisy/robust dominance требует собственного relation profile; plateau epsilon не используется как универсальное правило dominance.</w:t>
      </w:r>
    </w:p>
    <w:p>
      <w:pPr/>
      <w:r>
        <w:t>A=(10,2) доминирует B=(12,3) при минимизации cost/harm; C=(8,4) nondominated вместе с A. Missing required harm делает candidate unrankable, не сокращает basis до cost. Unknown deficit units B108 остаются проблемой provenance; config label не восстанавливает units. Missing optional runtime diagnostic не меняет frontier. Вариант без admitted objective — сохранить vectors и отказаться от ranking, не блокируя evaluation. Новая basis version пересчитывает frontier только из достаточных retained values, не переписывая смысл старого отчёта.</w:t>
      </w:r>
    </w:p>
    <w:p>
      <w:pPr>
        <w:pStyle w:val="Heading2"/>
      </w:pPr>
      <w:bookmarkStart w:id="50" w:name="E02_ARCH_42"/>
      <w:r>
        <w:t>8.13 E02-ARCH-42 B111 upstream candidate universe</w:t>
      </w:r>
      <w:bookmarkEnd w:id="50"/>
    </w:p>
    <w:p>
      <w:pPr>
        <w:wordWrap w:val="0"/>
      </w:pPr>
      <w:r>
        <w:t xml:space="preserve">Для полного frontier нужен независимый от surviving registry rows источник denominator. Existing upstream generator/workspace owner фиксирует </w:t>
      </w:r>
      <w:r>
        <w:rPr>
          <w:rFonts w:ascii="DejaVu Sans Mono" w:hAnsi="DejaVu Sans Mono"/>
          <w:sz w:val="19"/>
        </w:rPr>
        <w:t>CandidateUniverseInventory</w:t>
      </w:r>
      <w:r>
        <w:t xml:space="preserve">: source owner/scope, population/generation rule, snapshot/time cut, entries с candidate occurrence/artifact, </w:t>
      </w:r>
      <w:r>
        <w:rPr>
          <w:rFonts w:ascii="DejaVu Sans Mono" w:hAnsi="DejaVu Sans Mono"/>
          <w:sz w:val="19"/>
        </w:rPr>
        <w:t>eligible|ineligible|unknown</w:t>
      </w:r>
      <w:r>
        <w:t>, rule/evidence, declared count, dedupe policy и completeness. Независимость здесь логическая и provenance-based: не нужна новая внешняя организация или машина. Один local owner может сохранить manifest создания до ingestion, а registry отдельно подтвердить receipt каждого occurrence.</w:t>
      </w:r>
    </w:p>
    <w:p>
      <w:pPr>
        <w:wordWrap w:val="0"/>
      </w:pPr>
      <w:r>
        <w:t xml:space="preserve">Reconciliation сохраняет eligible source set, actual projected set, missing/unexpected candidates, unknown eligibility, duplicates и evaluated/rankable counts. Frontier claim имеет scope </w:t>
      </w:r>
      <w:r>
        <w:rPr>
          <w:rFonts w:ascii="DejaVu Sans Mono" w:hAnsi="DejaVu Sans Mono"/>
          <w:sz w:val="19"/>
        </w:rPr>
        <w:t>declared_universe_complete|observed_subset|unassessed</w:t>
      </w:r>
      <w:r>
        <w:t xml:space="preserve"> и objective/cohort/inventory refs. Нельзя взять A,B из registry и скопировать их в поле «upstream universe», если generator создал A,B,C. Unknown vector C может скрывать dominator, поэтому даже complete ingestion не даёт complete frontier без достаточного evaluation.</w:t>
      </w:r>
    </w:p>
    <w:p>
      <w:pPr/>
      <w:r>
        <w:t>Eligibility определяется upstream до ranking; numerical failure не становится удобным ineligibility. Explicitly infeasible C можно исключить по заранее заданному rule и evidence, сохранив C в accounting. Finite manifest является полным только относительно своей объявленной population и cut. Open-ended пространство всех возможных policies не получает global completeness от конечного поиска. Later candidate не переписывает прошлое complete-as-of; current-use требует своей проверки head. Если полный universe не нужен или не установлен, observed-subset frontier является полезным и дешёвым результатом.</w:t>
      </w:r>
    </w:p>
    <w:p>
      <w:pPr>
        <w:pStyle w:val="Heading2"/>
      </w:pPr>
      <w:bookmarkStart w:id="51" w:name="E02_ARCH_43"/>
      <w:r>
        <w:t>8.14 E02-ARCH-43 B111 оценки были но победителя нет</w:t>
      </w:r>
      <w:bookmarkEnd w:id="51"/>
    </w:p>
    <w:p>
      <w:pPr>
        <w:wordWrap w:val="0"/>
      </w:pPr>
      <w:r>
        <w:t xml:space="preserve">Если evaluated_count&gt;0, а finite rankable count=0, возвращается </w:t>
      </w:r>
      <w:r>
        <w:rPr>
          <w:rFonts w:ascii="DejaVu Sans Mono" w:hAnsi="DejaVu Sans Mono"/>
          <w:sz w:val="19"/>
        </w:rPr>
        <w:t>no_champion</w:t>
      </w:r>
      <w:r>
        <w:t xml:space="preserve"> с reason </w:t>
      </w:r>
      <w:r>
        <w:rPr>
          <w:rFonts w:ascii="DejaVu Sans Mono" w:hAnsi="DejaVu Sans Mono"/>
          <w:sz w:val="19"/>
        </w:rPr>
        <w:t>all_evaluated_unrankable</w:t>
      </w:r>
      <w:r>
        <w:t xml:space="preserve">, а не </w:t>
      </w:r>
      <w:r>
        <w:rPr>
          <w:rFonts w:ascii="DejaVu Sans Mono" w:hAnsi="DejaVu Sans Mono"/>
          <w:sz w:val="19"/>
        </w:rPr>
        <w:t>no_evaluations</w:t>
      </w:r>
      <w:r>
        <w:t xml:space="preserve">. Summary сохраняет attempted/completed/evaluated/rankable counts, invalid/missing reasons, exact evaluations, objective/inventory state, actual resource costs и prior risk activations. Правдивый no-selection report доступен и при неустановленном objective basis или universe: он несёт </w:t>
      </w:r>
      <w:r>
        <w:rPr>
          <w:rFonts w:ascii="DejaVu Sans Mono" w:hAnsi="DejaVu Sans Mono"/>
          <w:sz w:val="19"/>
        </w:rPr>
        <w:t>basis_limited</w:t>
      </w:r>
      <w:r>
        <w:t>/</w:t>
      </w:r>
      <w:r>
        <w:rPr>
          <w:rFonts w:ascii="DejaVu Sans Mono" w:hAnsi="DejaVu Sans Mono"/>
          <w:sz w:val="19"/>
        </w:rPr>
        <w:t>denominator_limited</w:t>
      </w:r>
      <w:r>
        <w:t>, а не ждёт доказательств, необходимых только winner/full-frontier claim. Accepted structure, Trinity ref, прежний winner и unevaluated fallback input не становятся победителем текущего run.</w:t>
      </w:r>
    </w:p>
    <w:p>
      <w:pPr>
        <w:wordWrap w:val="0"/>
      </w:pPr>
      <w:r>
        <w:t xml:space="preserve">На закреплённом текущем source runner принимает изменённый state и записывает execution provenance только при </w:t>
      </w:r>
      <w:r>
        <w:rPr>
          <w:rFonts w:ascii="DejaVu Sans Mono" w:hAnsi="DejaVu Sans Mono"/>
          <w:sz w:val="19"/>
        </w:rPr>
        <w:t>NodeOutcome.ok</w:t>
      </w:r>
      <w:r>
        <w:t xml:space="preserve">; </w:t>
      </w:r>
      <w:r>
        <w:rPr>
          <w:rFonts w:ascii="DejaVu Sans Mono" w:hAnsi="DejaVu Sans Mono"/>
          <w:sz w:val="19"/>
        </w:rPr>
        <w:t>skip</w:t>
      </w:r>
      <w:r>
        <w:t xml:space="preserve"> потерял бы результат уже выполненной работы. Поэтому выбранный target для этого entrypoint — </w:t>
      </w:r>
      <w:r>
        <w:rPr>
          <w:rFonts w:ascii="DejaVu Sans Mono" w:hAnsi="DejaVu Sans Mono"/>
          <w:b/>
          <w:sz w:val="19"/>
        </w:rPr>
        <w:t>ok</w:t>
      </w:r>
      <w:r>
        <w:rPr>
          <w:b/>
        </w:rPr>
        <w:t xml:space="preserve"> с типизированным состоянием </w:t>
      </w:r>
      <w:r>
        <w:rPr>
          <w:rFonts w:ascii="DejaVu Sans Mono" w:hAnsi="DejaVu Sans Mono"/>
          <w:b/>
          <w:sz w:val="19"/>
        </w:rPr>
        <w:t>evaluated_all_unrankable</w:t>
      </w:r>
      <w:r>
        <w:t xml:space="preserve">, сохранёнными costs/counts/risk refs и отсутствующими champion/frontier refs. </w:t>
      </w:r>
      <w:r>
        <w:rPr>
          <w:rFonts w:ascii="DejaVu Sans Mono" w:hAnsi="DejaVu Sans Mono"/>
          <w:sz w:val="19"/>
        </w:rPr>
        <w:t>ok</w:t>
      </w:r>
      <w:r>
        <w:t xml:space="preserve"> означает корректно завершённое вычисление такого результата, а не успешный поиск победителя. Новый global status enum не нужен.</w:t>
      </w:r>
    </w:p>
    <w:p>
      <w:pPr>
        <w:wordWrap w:val="0"/>
      </w:pPr>
      <w:r>
        <w:t xml:space="preserve">Существующий dependency gate проверяет failed/blocked, а не конкретные outputs. Поэтому обязательна отдельная output-specific admission у named champion consumers через существующий </w:t>
      </w:r>
      <w:r>
        <w:rPr>
          <w:rFonts w:ascii="DejaVu Sans Mono" w:hAnsi="DejaVu Sans Mono"/>
          <w:sz w:val="19"/>
        </w:rPr>
        <w:t>OutputAwareNodeSpec</w:t>
      </w:r>
      <w:r>
        <w:t xml:space="preserve"> seam, который исследованный synchronous runner ещё не потребляет. Требуется </w:t>
      </w:r>
      <w:r>
        <w:rPr>
          <w:rFonts w:ascii="DejaVu Sans Mono" w:hAnsi="DejaVu Sans Mono"/>
          <w:sz w:val="19"/>
        </w:rPr>
        <w:t>SelectionResult.selected</w:t>
      </w:r>
      <w:r>
        <w:t xml:space="preserve"> от ожидаемого producer node и текущих execution/attempt, с exact candidate/evaluation/basis/scope; одного существования </w:t>
      </w:r>
      <w:r>
        <w:rPr>
          <w:rFonts w:ascii="DejaVu Sans Mono" w:hAnsi="DejaVu Sans Mono"/>
          <w:sz w:val="19"/>
        </w:rPr>
        <w:t>champion_ref</w:t>
      </w:r>
      <w:r>
        <w:t xml:space="preserve"> и matching basis недостаточно. Иначе унаследованный winner прежнего run может пройти как текущий. Вариант </w:t>
      </w:r>
      <w:r>
        <w:rPr>
          <w:rFonts w:ascii="DejaVu Sans Mono" w:hAnsi="DejaVu Sans Mono"/>
          <w:sz w:val="19"/>
        </w:rPr>
        <w:t>no_selection</w:t>
      </w:r>
      <w:r>
        <w:t xml:space="preserve"> не содержит current winner keys; diagnostic consumer может принять его, champion-dependent consumer — нет. До этой wiring нельзя объявлять consumer closure. Отсутствующий champion не заменяется исходным candidate; текущая fallback branch подлежит адресному удалению. Использование </w:t>
      </w:r>
      <w:r>
        <w:rPr>
          <w:rFonts w:ascii="DejaVu Sans Mono" w:hAnsi="DejaVu Sans Mono"/>
          <w:sz w:val="19"/>
        </w:rPr>
        <w:t>skip</w:t>
      </w:r>
      <w:r>
        <w:t xml:space="preserve"> возможно лишь после отдельного пересмотра runner semantics и не является рекомендуемым локальным исправлением.</w:t>
      </w:r>
    </w:p>
    <w:p>
      <w:pPr/>
      <w:r>
        <w:t>Один finite result среди invalid позволяет выбрать его внутри rankable subset; full declared-universe frontier остаётся limited, если invalid eligible result мог его доминировать. После завершения bounded plan не выполняется бесконечный retry до появления удачного числа. Все-invalid selection не сбрасывает compute cost и ранее активированную N11 obligation.</w:t>
      </w:r>
    </w:p>
    <w:p>
      <w:pPr>
        <w:wordWrap w:val="0"/>
      </w:pPr>
      <w:r>
        <w:rPr>
          <w:b/>
        </w:rPr>
        <w:t>B111 transition evidence.</w:t>
      </w:r>
      <w:r>
        <w:t xml:space="preserve"> Отдельно инвентаризируются реальные artifact kinds/schemas/stores/readers. Historical </w:t>
      </w:r>
      <w:r>
        <w:rPr>
          <w:rFonts w:ascii="DejaVu Sans Mono" w:hAnsi="DejaVu Sans Mono"/>
          <w:sz w:val="19"/>
        </w:rPr>
        <w:t>PolicyFrontierReport</w:t>
      </w:r>
      <w:r>
        <w:t xml:space="preserve"> и </w:t>
      </w:r>
      <w:r>
        <w:rPr>
          <w:rFonts w:ascii="DejaVu Sans Mono" w:hAnsi="DejaVu Sans Mono"/>
          <w:sz w:val="19"/>
        </w:rPr>
        <w:t>RejectedAlternativesSummary</w:t>
      </w:r>
      <w:r>
        <w:t xml:space="preserve"> v1/v3 не следует смешивать с </w:t>
      </w:r>
      <w:r>
        <w:rPr>
          <w:rFonts w:ascii="DejaVu Sans Mono" w:hAnsi="DejaVu Sans Mono"/>
          <w:sz w:val="19"/>
        </w:rPr>
        <w:t>ParetoRegistrySnapshot</w:t>
      </w:r>
      <w:r>
        <w:t xml:space="preserve"> v2.0, который является другим kind. New writer не пишет v3 перед согласованным reader cutover; old v3 bytes не перезаписываются как v1. No-user default — согласованная пауза writers, сохранение оригиналов, rebuild disposable projections, один target reader/writer и cold readback. Source DTO support не доказывает deployed reader coverage.</w:t>
      </w:r>
    </w:p>
    <w:p>
      <w:pPr>
        <w:pStyle w:val="Heading2"/>
      </w:pPr>
      <w:bookmarkStart w:id="52" w:name="E02_ARCH_44"/>
      <w:r>
        <w:t>8.15 E02-ARCH-44 R11a scheduler quantities и utility</w:t>
      </w:r>
      <w:bookmarkEnd w:id="52"/>
    </w:p>
    <w:p>
      <w:pPr>
        <w:wordWrap w:val="0"/>
      </w:pPr>
      <w:r>
        <w:t xml:space="preserve">R11a остаётся самостоятельным conceptual contract gap: источник не определяет EIG/USD conversion, коэффициент, threshold или назначенного conversion issuer. Рекомендую небольшой versioned </w:t>
      </w:r>
      <w:r>
        <w:rPr>
          <w:rFonts w:ascii="DejaVu Sans Mono" w:hAnsi="DejaVu Sans Mono"/>
          <w:sz w:val="19"/>
        </w:rPr>
        <w:t>SchedulerDecisionProfile</w:t>
      </w:r>
      <w:r>
        <w:t>, сохраняя существующий predictive VOI producer и его настоящий смысл. Новый универсальный EVSI estimator не нужен.</w:t>
      </w:r>
    </w:p>
    <w:p>
      <w:pPr>
        <w:wordWrap w:val="0"/>
      </w:pPr>
      <w:r>
        <w:t xml:space="preserve">Первый режим для уже разрешённой обычной candidate работы — </w:t>
      </w:r>
      <w:r>
        <w:rPr>
          <w:rFonts w:ascii="DejaVu Sans Mono" w:hAnsi="DejaVu Sans Mono"/>
          <w:b/>
          <w:sz w:val="19"/>
        </w:rPr>
        <w:t>bounded_ordinal</w:t>
      </w:r>
      <w:r>
        <w:t xml:space="preserve">: отфильтровать неразрешённые или infeasible действия по hard resource limits, соблюдать explicit request priorities и required-dependency order, затем deterministic request order. Результат имеет </w:t>
      </w:r>
      <w:r>
        <w:rPr>
          <w:rFonts w:ascii="DejaVu Sans Mono" w:hAnsi="DejaVu Sans Mono"/>
          <w:sz w:val="19"/>
        </w:rPr>
        <w:t>utility_assessment=unscored</w:t>
      </w:r>
      <w:r>
        <w:t xml:space="preserve">, честные resource receipts и не заявляет экономической оптимальности. Ordinal rank 2 не равен удвоенной ценности rank 1; над ним нельзя выполнять денежную арифметику. Нет feasible action — </w:t>
      </w:r>
      <w:r>
        <w:rPr>
          <w:rFonts w:ascii="DejaVu Sans Mono" w:hAnsi="DejaVu Sans Mono"/>
          <w:sz w:val="19"/>
        </w:rPr>
        <w:t>no_feasible_action</w:t>
      </w:r>
      <w:r>
        <w:t xml:space="preserve"> или </w:t>
      </w:r>
      <w:r>
        <w:rPr>
          <w:rFonts w:ascii="DejaVu Sans Mono" w:hAnsi="DejaVu Sans Mono"/>
          <w:sz w:val="19"/>
        </w:rPr>
        <w:t>resource_ceiling</w:t>
      </w:r>
      <w:r>
        <w:t>; законченный requested plan не называется information convergence.</w:t>
      </w:r>
    </w:p>
    <w:p>
      <w:pPr/>
      <w:r>
        <w:t>Более сильные режимы являются настоящими альтернативами:</w:t>
      </w:r>
    </w:p>
    <w:p>
      <w:pPr>
        <w:pStyle w:val="ListBullet"/>
        <w:wordWrap w:val="0"/>
      </w:pPr>
      <w:r>
        <w:rPr>
          <w:rFonts w:ascii="DejaVu Sans Mono" w:hAnsi="DejaVu Sans Mono"/>
          <w:b/>
          <w:sz w:val="19"/>
        </w:rPr>
        <w:t>information_only</w:t>
      </w:r>
      <w:r>
        <w:rPr>
          <w:b/>
        </w:rPr>
        <w:t>:</w:t>
      </w:r>
      <w:r>
        <w:t xml:space="preserve"> сравнивать qualified expected information gain только для одного target random variable, conditioning basis, observation design и estimator profile. Unit — bit или nat с явным log base. Costs ограничивают feasibility, но не вычитаются из информации. Любой threshold задаётся отдельно в этой information unit</w:t>
      </w:r>
    </w:p>
    <w:p>
      <w:pPr>
        <w:pStyle w:val="ListBullet"/>
        <w:wordWrap w:val="0"/>
      </w:pPr>
      <w:r>
        <w:rPr>
          <w:rFonts w:ascii="DejaVu Sans Mono" w:hAnsi="DejaVu Sans Mono"/>
          <w:b/>
          <w:sz w:val="19"/>
        </w:rPr>
        <w:t>decision_value</w:t>
      </w:r>
      <w:r>
        <w:rPr>
          <w:b/>
        </w:rPr>
        <w:t>:</w:t>
      </w:r>
      <w:r>
        <w:t xml:space="preserve"> оценивать expected utility gain либо expected loss reduction для явного decision/action set, population, horizon, utility/loss profile и predictive/update method. Cost вычитается лишь после обоснованного перевода в ту же unit при согласованных valuation, population, horizon и inclusion rules. Threshold принадлежит конкретному принятому профилю</w:t>
      </w:r>
    </w:p>
    <w:p>
      <w:pPr>
        <w:wordWrap w:val="0"/>
      </w:pPr>
      <w:r>
        <w:t xml:space="preserve">Profile связывает requested mode/admission scope, target/conditioning, candidate action menu, allowed producer/method, estimator/error/calibration evidence, cost/hard-limit profiles и decision rule. Результат использует </w:t>
      </w:r>
      <w:r>
        <w:rPr>
          <w:rFonts w:ascii="DejaVu Sans Mono" w:hAnsi="DejaVu Sans Mono"/>
          <w:sz w:val="19"/>
        </w:rPr>
        <w:t>utility_assessment=unscored|information_only|decision_value_estimated</w:t>
      </w:r>
      <w:r>
        <w:t xml:space="preserve">. </w:t>
      </w:r>
      <w:r>
        <w:rPr>
          <w:rFonts w:ascii="DejaVu Sans Mono" w:hAnsi="DejaVu Sans Mono"/>
          <w:sz w:val="19"/>
        </w:rPr>
        <w:t>InformationGain</w:t>
      </w:r>
      <w:r>
        <w:t xml:space="preserve">, </w:t>
      </w:r>
      <w:r>
        <w:rPr>
          <w:rFonts w:ascii="DejaVu Sans Mono" w:hAnsi="DejaVu Sans Mono"/>
          <w:sz w:val="19"/>
        </w:rPr>
        <w:t>DecisionValue</w:t>
      </w:r>
      <w:r>
        <w:t xml:space="preserve"> и </w:t>
      </w:r>
      <w:r>
        <w:rPr>
          <w:rFonts w:ascii="DejaVu Sans Mono" w:hAnsi="DejaVu Sans Mono"/>
          <w:sz w:val="19"/>
        </w:rPr>
        <w:t>OrdinalPriority</w:t>
      </w:r>
      <w:r>
        <w:t xml:space="preserve"> — разные variants, а не три названия одного float. Нативный predictive score нельзя переименовать в EIG/EVSI, если его formula/target этого не подтверждают. Estimate/error и SIM03 logical-unit/failure accounting сохраняются.</w:t>
      </w:r>
    </w:p>
    <w:p>
      <w:pPr/>
      <w:r>
        <w:t>Для одного target 1 bit эквивалентен ln(2) nat; это математическая смена log base, не money valuation. Информация о nuisance parameter может иметь положительный EIG и нулевую decision value, если она не меняет полезность доступных действий [В16]. В чисто иллюстративной finite decision fixture ожидаемая лучшая полезность до данных 50 USD, после информации 100 USD: value 50 USD, matching all-in study cost 20 USD даёт net 30 USD. Эти числа — заданные acceptance inputs, не production коэффициенты.</w:t>
      </w:r>
    </w:p>
    <w:p>
      <w:pPr>
        <w:wordWrap w:val="0"/>
      </w:pPr>
      <w:r>
        <w:rPr>
          <w:rFonts w:ascii="DejaVu Sans Mono" w:hAnsi="DejaVu Sans Mono"/>
          <w:sz w:val="19"/>
        </w:rPr>
        <w:t>signal_kind_unknown</w:t>
      </w:r>
      <w:r>
        <w:t xml:space="preserve">, </w:t>
      </w:r>
      <w:r>
        <w:rPr>
          <w:rFonts w:ascii="DejaVu Sans Mono" w:hAnsi="DejaVu Sans Mono"/>
          <w:sz w:val="19"/>
        </w:rPr>
        <w:t>incompatible_signal_units</w:t>
      </w:r>
      <w:r>
        <w:t xml:space="preserve">, </w:t>
      </w:r>
      <w:r>
        <w:rPr>
          <w:rFonts w:ascii="DejaVu Sans Mono" w:hAnsi="DejaVu Sans Mono"/>
          <w:sz w:val="19"/>
        </w:rPr>
        <w:t>conditioning_mismatch</w:t>
      </w:r>
      <w:r>
        <w:t xml:space="preserve">, </w:t>
      </w:r>
      <w:r>
        <w:rPr>
          <w:rFonts w:ascii="DejaVu Sans Mono" w:hAnsi="DejaVu Sans Mono"/>
          <w:sz w:val="19"/>
        </w:rPr>
        <w:t>invalid_or_unqualified_estimator</w:t>
      </w:r>
      <w:r>
        <w:t xml:space="preserve">, </w:t>
      </w:r>
      <w:r>
        <w:rPr>
          <w:rFonts w:ascii="DejaVu Sans Mono" w:hAnsi="DejaVu Sans Mono"/>
          <w:sz w:val="19"/>
        </w:rPr>
        <w:t>decision_value_profile_missing</w:t>
      </w:r>
      <w:r>
        <w:t xml:space="preserve">, </w:t>
      </w:r>
      <w:r>
        <w:rPr>
          <w:rFonts w:ascii="DejaVu Sans Mono" w:hAnsi="DejaVu Sans Mono"/>
          <w:sz w:val="19"/>
        </w:rPr>
        <w:t>normative_valuation_missing</w:t>
      </w:r>
      <w:r>
        <w:t xml:space="preserve">, </w:t>
      </w:r>
      <w:r>
        <w:rPr>
          <w:rFonts w:ascii="DejaVu Sans Mono" w:hAnsi="DejaVu Sans Mono"/>
          <w:sz w:val="19"/>
        </w:rPr>
        <w:t>unsupported_requested_mode</w:t>
      </w:r>
      <w:r>
        <w:t xml:space="preserve">, </w:t>
      </w:r>
      <w:r>
        <w:rPr>
          <w:rFonts w:ascii="DejaVu Sans Mono" w:hAnsi="DejaVu Sans Mono"/>
          <w:sz w:val="19"/>
        </w:rPr>
        <w:t>cost_basis_mismatch</w:t>
      </w:r>
      <w:r>
        <w:t xml:space="preserve"> не превращаются в score 0. Нельзя вычесть 1 USD из 1 nat или сложить expected deaths и cloud dollars без явно принятой valuation. Если запрос требует protected/decision-value mode, отсутствие его profile даёт отказ, а не тихую замену на ordinal candidate mode под прежним authority label.</w:t>
      </w:r>
    </w:p>
    <w:p>
      <w:pPr/>
      <w:r>
        <w:t>Стоимость ordinal режима — небольшой intake/rule contract. Same-target EIG требует реальной estimator qualification, decision-value — ещё utility/model/calibration и upkeep. Выбор цели, приоритетов, substantive utility, valuation/discount/weights и threshold остаётся за соответствующим пользователем/владельцем. Engineering выбирает корректные units checks и deterministic order. Ни один вариант не меняет уже принятую R11 universal-v3 blocked→no N9 policy и не подменяет repeated-candidate identity mechanism.</w:t>
      </w:r>
    </w:p>
    <w:p>
      <w:pPr>
        <w:pStyle w:val="Heading1"/>
      </w:pPr>
      <w:bookmarkStart w:id="53" w:name="section_9"/>
      <w:r>
        <w:t>9 Публичная поверхность и точные acceptance identities</w:t>
      </w:r>
      <w:bookmarkEnd w:id="53"/>
    </w:p>
    <w:p>
      <w:pPr>
        <w:pStyle w:val="Heading2"/>
      </w:pPr>
      <w:bookmarkStart w:id="54" w:name="E02_ARCH_35"/>
      <w:r>
        <w:t>9.1 E02-ARCH-35 Один узкий supported surface</w:t>
      </w:r>
      <w:bookmarkEnd w:id="54"/>
    </w:p>
    <w:p>
      <w:pPr/>
      <w:r>
        <w:t>Для каждого retained import, HTTP route и serialized surface нужен owner, exact signature/schema, stability level, admitted consumers, error contract и version. Import success не означает supported public API. Package version, record schema, rule version и trust epoch не взаимозаменяемы.</w:t>
      </w:r>
    </w:p>
    <w:p>
      <w:pPr>
        <w:wordWrap w:val="0"/>
      </w:pPr>
      <w:r>
        <w:t xml:space="preserve">Рекомендуемые dispositions: </w:t>
      </w:r>
      <w:r>
        <w:rPr>
          <w:rFonts w:ascii="DejaVu Sans Mono" w:hAnsi="DejaVu Sans Mono"/>
          <w:sz w:val="19"/>
        </w:rPr>
        <w:t>core.artifacts</w:t>
      </w:r>
      <w:r>
        <w:t xml:space="preserve"> считать internal, если нет реального потребителя exact public root exports; LA-005 ограничить allowlist и убрать неподдерживаемый wrapper после owner reconciliation; LA-026 не развивать пустой descriptor без consumer; LA-027 оставить один </w:t>
      </w:r>
      <w:r>
        <w:rPr>
          <w:rFonts w:ascii="DejaVu Sans Mono" w:hAnsi="DejaVu Sans Mono"/>
          <w:sz w:val="19"/>
        </w:rPr>
        <w:t>kernel/schemas</w:t>
      </w:r>
      <w:r>
        <w:t xml:space="preserve"> owner и убрать ненужный pipeline alias после согласования текущего плана. Существующий store инъецируется; deep import или новый factory не должен становиться скрытым authority constructor.</w:t>
      </w:r>
    </w:p>
    <w:p>
      <w:pPr/>
      <w:r>
        <w:t>У продукта без пользователей нет причины поддерживать бесконечный deprecation window. Нужен finite census реально поддерживаемых внутренних callers и совместный cutover. Offline historical adapter допустим, active duplicate API без пользы — нет. Удаление работающего bounded native capability на основании старого defect description также недопустимо.</w:t>
      </w:r>
    </w:p>
    <w:p>
      <w:pPr>
        <w:wordWrap w:val="0"/>
      </w:pPr>
      <w:r>
        <w:t xml:space="preserve">Три варианта Core public boundary не эквивалентны: internal </w:t>
      </w:r>
      <w:r>
        <w:rPr>
          <w:rFonts w:ascii="DejaVu Sans Mono" w:hAnsi="DejaVu Sans Mono"/>
          <w:sz w:val="19"/>
        </w:rPr>
        <w:t>polisyos.core.artifacts</w:t>
      </w:r>
      <w:r>
        <w:t xml:space="preserve"> плюс store injection; только stable-root </w:t>
      </w:r>
      <w:r>
        <w:rPr>
          <w:rFonts w:ascii="DejaVu Sans Mono" w:hAnsi="DejaVu Sans Mono"/>
          <w:sz w:val="19"/>
        </w:rPr>
        <w:t>ArtifactStoreConfig</w:t>
      </w:r>
      <w:r>
        <w:t xml:space="preserve"> и </w:t>
      </w:r>
      <w:r>
        <w:rPr>
          <w:rFonts w:ascii="DejaVu Sans Mono" w:hAnsi="DejaVu Sans Mono"/>
          <w:sz w:val="19"/>
        </w:rPr>
        <w:t>build_artifact_store</w:t>
      </w:r>
      <w:r>
        <w:t xml:space="preserve"> в </w:t>
      </w:r>
      <w:r>
        <w:rPr>
          <w:rFonts w:ascii="DejaVu Sans Mono" w:hAnsi="DejaVu Sans Mono"/>
          <w:sz w:val="19"/>
        </w:rPr>
        <w:t>polisyos.core</w:t>
      </w:r>
      <w:r>
        <w:t xml:space="preserve"> для реального construction consumer; вся facade с полным </w:t>
      </w:r>
      <w:r>
        <w:rPr>
          <w:rFonts w:ascii="DejaVu Sans Mono" w:hAnsi="DejaVu Sans Mono"/>
          <w:sz w:val="19"/>
        </w:rPr>
        <w:t>__all__</w:t>
      </w:r>
      <w:r>
        <w:t xml:space="preserve"> и обязательствами versioning. Рекомендуется первый, второй вводится по конкретной необходимости; третий не выбирается ради подавления deep-import diagnostics. Internal статус сам по себе не разрешает любой cross-root import: допустимость границы подтверждает existing import-policy owner. Factory возвращает backend capability, но path не создаёт tenant authority. Manifest lifecycle mutation остаётся за owner API; Runtime-to-DataForge bans не снимаются расширением Core exports.</w:t>
      </w:r>
    </w:p>
    <w:p>
      <w:pPr>
        <w:wordWrap w:val="0"/>
      </w:pPr>
      <w:r>
        <w:t xml:space="preserve">IR slot grammar решается отдельно: рекомендую narrow root export существующего canonical </w:t>
      </w:r>
      <w:r>
        <w:rPr>
          <w:rFonts w:ascii="DejaVu Sans Mono" w:hAnsi="DejaVu Sans Mono"/>
          <w:sz w:val="19"/>
        </w:rPr>
        <w:t>SLOT_ID_PATTERN</w:t>
      </w:r>
      <w:r>
        <w:t xml:space="preserve"> через поддержанный </w:t>
      </w:r>
      <w:r>
        <w:rPr>
          <w:rFonts w:ascii="DejaVu Sans Mono" w:hAnsi="DejaVu Sans Mono"/>
          <w:sz w:val="19"/>
        </w:rPr>
        <w:t>polisyos.ir</w:t>
      </w:r>
      <w:r>
        <w:t xml:space="preserve">, без копии regex и без объявления всего </w:t>
      </w:r>
      <w:r>
        <w:rPr>
          <w:rFonts w:ascii="DejaVu Sans Mono" w:hAnsi="DejaVu Sans Mono"/>
          <w:sz w:val="19"/>
        </w:rPr>
        <w:t>ir.kernel</w:t>
      </w:r>
      <w:r>
        <w:t xml:space="preserve"> публичным. Pure versioned validator может заменить pattern только если реальный caller не требует объект; два параллельных API не нужны. Mapping entry без настоящего module attribute не export. First cut сохраняет accepted/rejected identifier language, canonical identity и historical grammar. Проверка включает built wheel вне checkout, native positive/negative corpus, relevant Unicode/normalization cases и export-removal mutation. Изменение grammar language является отдельным решением от исправления import.</w:t>
      </w:r>
    </w:p>
    <w:p>
      <w:pPr>
        <w:pStyle w:val="Heading2"/>
      </w:pPr>
      <w:bookmarkStart w:id="55" w:name="E02_ARCH_36"/>
      <w:r>
        <w:t>9.2 E02-ARCH-36 Не подменять проверяемое свойство похожим тестом</w:t>
      </w:r>
      <w:bookmarkEnd w:id="55"/>
    </w:p>
    <w:p>
      <w:pPr/>
      <w:r>
        <w:t>R1 Appendix-A требует отдельных именованных acceptance properties:</w:t>
      </w:r>
    </w:p>
    <w:p>
      <w:pPr>
        <w:pStyle w:val="ListBullet"/>
      </w:pPr>
      <w:r>
        <w:t>HTTP contextless refusal с точным route/request/error behavior</w:t>
      </w:r>
    </w:p>
    <w:p>
      <w:pPr>
        <w:pStyle w:val="ListBullet"/>
      </w:pPr>
      <w:r>
        <w:t>direct-controller owner/context behavior с его собственной boundary</w:t>
      </w:r>
    </w:p>
    <w:p>
      <w:pPr>
        <w:pStyle w:val="ListBullet"/>
      </w:pPr>
      <w:r>
        <w:t>candidate-only compiler boundary, где synthetic terminal является ограничением evidence</w:t>
      </w:r>
    </w:p>
    <w:p>
      <w:pPr>
        <w:pStyle w:val="ListBullet"/>
      </w:pPr>
      <w:r>
        <w:t>served controlled N5 positive с реальным потреблением предусмотренного context/input</w:t>
      </w:r>
    </w:p>
    <w:p>
      <w:pPr/>
      <w:r>
        <w:t>Более узкий selector может быть полезен, но не доказывает HTTP/direct parity, real source custody, реальный N4 или S8. Для каждой property нужны canonical ID, premise, entrypoint, exact refs, expected branch, invalid counterexample и сохраняющий positive control. Replacement оформляется как явное изменение требования для рассмотрения; нельзя просто переименовать новый тест старым ID.</w:t>
      </w:r>
    </w:p>
    <w:p>
      <w:pPr/>
      <w:r>
        <w:t>R1 Appendix-A identities, source-time semantics, numeric materialization и per-active-basis context связаны, но являются разными proof obligations. Приоритет — реализовать минимальный точный положительный путь и соответствующие отрицательные контрпримеры, не расширять словесный claim по похожести теста.</w:t>
      </w:r>
    </w:p>
    <w:p>
      <w:pPr>
        <w:pStyle w:val="Heading1"/>
      </w:pPr>
      <w:bookmarkStart w:id="56" w:name="section_10"/>
      <w:r>
        <w:t>10 Решения которые действительно остаются за пользователем</w:t>
      </w:r>
      <w:bookmarkEnd w:id="56"/>
    </w:p>
    <w:p>
      <w:pPr/>
      <w:r>
        <w:t>Большинство schema, cache, ref и concurrency вопросов выше можно рекомендовать инженерно. Следующие выборы нельзя скрыто сделать в implementation. Отсутствие ответа не означает принятие default.</w:t>
      </w:r>
    </w:p>
    <w:p>
      <w:pPr>
        <w:pStyle w:val="Heading2"/>
        <w:keepNext/>
      </w:pPr>
      <w:r>
        <w:t>Первый operating profile и первый protected use</w:t>
      </w:r>
    </w:p>
    <w:p>
      <w:pPr>
        <w:keepNext/>
        <w:keepLines/>
      </w:pPr>
      <w:r>
        <w:rPr>
          <w:b/>
        </w:rPr>
        <w:t xml:space="preserve">Рекомендуемый default. </w:t>
      </w:r>
      <w:r>
        <w:t>Candidate/history для ранней эксплуатации; полный strict-local target реализовать и характеризовать в E02; включать один конкретный protected use после его admission</w:t>
      </w:r>
    </w:p>
    <w:p>
      <w:pPr>
        <w:keepNext w:val="0"/>
        <w:keepLines/>
      </w:pPr>
      <w:r>
        <w:rPr>
          <w:b/>
        </w:rPr>
        <w:t xml:space="preserve">Последствие и настоящая альтернатива. </w:t>
      </w:r>
      <w:r>
        <w:t>Эксплуатация не ждёт фиктивных appointments. Если полезный protected consumer уже есть, приоритизировать его owner/guarantee/freshness inputs, не сокращая проверки</w:t>
      </w:r>
    </w:p>
    <w:p>
      <w:pPr>
        <w:pStyle w:val="Heading2"/>
        <w:keepNext/>
      </w:pPr>
      <w:r>
        <w:t>Нужная гарантия N11</w:t>
      </w:r>
    </w:p>
    <w:p>
      <w:pPr>
        <w:keepNext/>
        <w:keepLines/>
      </w:pPr>
      <w:r>
        <w:rPr>
          <w:b/>
        </w:rPr>
        <w:t xml:space="preserve">Рекомендуемый default. </w:t>
      </w:r>
      <w:r>
        <w:t>Для active claim явно определить bad event, audience, family lifetime, tolerance и selection-valid evidence protocol; демо считать non-authoritative</w:t>
      </w:r>
    </w:p>
    <w:p>
      <w:pPr>
        <w:keepNext w:val="0"/>
        <w:keepLines/>
      </w:pPr>
      <w:r>
        <w:rPr>
          <w:b/>
        </w:rPr>
        <w:t xml:space="preserve">Последствие и настоящая альтернатива. </w:t>
      </w:r>
      <w:r>
        <w:t>Без этого accounting механизм полезен для characterization, но не выпускает реальную статистическую гарантию. Возможен честный отказ от такого claim в первом продукте</w:t>
      </w:r>
    </w:p>
    <w:p>
      <w:pPr>
        <w:pStyle w:val="Heading2"/>
        <w:keepNext/>
      </w:pPr>
      <w:r>
        <w:t>Реальные issuer и authority owners</w:t>
      </w:r>
    </w:p>
    <w:p>
      <w:pPr>
        <w:keepNext/>
        <w:keepLines/>
      </w:pPr>
      <w:r>
        <w:rPr>
          <w:b/>
        </w:rPr>
        <w:t xml:space="preserve">Рекомендуемый default. </w:t>
      </w:r>
      <w:r>
        <w:t>Сохранять существующие полномочия; не назначать новые по именам файлов. Выбрать только нужный release/deployment/source admission path</w:t>
      </w:r>
    </w:p>
    <w:p>
      <w:pPr>
        <w:keepNext w:val="0"/>
        <w:keepLines/>
      </w:pPr>
      <w:r>
        <w:rPr>
          <w:b/>
        </w:rPr>
        <w:t xml:space="preserve">Последствие и настоящая альтернатива. </w:t>
      </w:r>
      <w:r>
        <w:t>Неназначенный issuer удерживает выдачу, а не всю инженерную работу. OIDC provenance и институциональное полномочие решаются отдельно</w:t>
      </w:r>
    </w:p>
    <w:p>
      <w:pPr>
        <w:pStyle w:val="Heading2"/>
        <w:keepNext/>
      </w:pPr>
      <w:r>
        <w:t>Допустимая свежесть и revocation</w:t>
      </w:r>
    </w:p>
    <w:p>
      <w:pPr>
        <w:keepNext/>
        <w:keepLines/>
      </w:pPr>
      <w:r>
        <w:rPr>
          <w:b/>
        </w:rPr>
        <w:t xml:space="preserve">Рекомендуемый default. </w:t>
      </w:r>
      <w:r>
        <w:t>Local as-of observations; snapshot-at-admission; немедленное упорядочивание локального veto в strict domain</w:t>
      </w:r>
    </w:p>
    <w:p>
      <w:pPr>
        <w:keepNext w:val="0"/>
        <w:keepLines/>
      </w:pPr>
      <w:r>
        <w:rPr>
          <w:b/>
        </w:rPr>
        <w:t xml:space="preserve">Последствие и настоящая альтернатива. </w:t>
      </w:r>
      <w:r>
        <w:t>Remote freshness age задаётся для каждого защищённого действия. Short irrevocable lease дешевле cross-owner ordering, но допускает отложенный revoke и требует отдельного принятия</w:t>
      </w:r>
    </w:p>
    <w:p>
      <w:pPr>
        <w:pStyle w:val="Heading2"/>
        <w:keepNext/>
      </w:pPr>
      <w:r>
        <w:t>Первый научный и data scope</w:t>
      </w:r>
    </w:p>
    <w:p>
      <w:pPr>
        <w:keepNext/>
        <w:keepLines/>
      </w:pPr>
      <w:r>
        <w:rPr>
          <w:b/>
        </w:rPr>
        <w:t xml:space="preserve">Рекомендуемый default. </w:t>
      </w:r>
      <w:r>
        <w:t>Один полезный source/model/target/horizon, candidate-unknown там, где confidence не поддержан</w:t>
      </w:r>
    </w:p>
    <w:p>
      <w:pPr>
        <w:keepNext w:val="0"/>
        <w:keepLines/>
      </w:pPr>
      <w:r>
        <w:rPr>
          <w:b/>
        </w:rPr>
        <w:t xml:space="preserve">Последствие и настоящая альтернатива. </w:t>
      </w:r>
      <w:r>
        <w:t>Новый admitted L2 occurrence или более сложный evaluator строится под реальную потребность. Universal metadata/model platform не создаётся заранее</w:t>
      </w:r>
    </w:p>
    <w:p>
      <w:pPr>
        <w:pStyle w:val="Heading2"/>
        <w:keepNext/>
      </w:pPr>
      <w:r>
        <w:t>Objective веса и пределы ресурсов</w:t>
      </w:r>
    </w:p>
    <w:p>
      <w:pPr>
        <w:keepNext/>
        <w:keepLines/>
      </w:pPr>
      <w:r>
        <w:rPr>
          <w:b/>
        </w:rPr>
        <w:t xml:space="preserve">Рекомендуемый default. </w:t>
      </w:r>
      <w:r>
        <w:t>Outcome vectors и hard constraints без скрытого welfare scalar; именованный baseline; явные time/cash/memory ceilings</w:t>
      </w:r>
    </w:p>
    <w:p>
      <w:pPr>
        <w:keepNext w:val="0"/>
        <w:keepLines/>
      </w:pPr>
      <w:r>
        <w:rPr>
          <w:b/>
        </w:rPr>
        <w:t xml:space="preserve">Последствие и настоящая альтернатива. </w:t>
      </w:r>
      <w:r>
        <w:t>Выбор welfare weights, discounting, jurisdiction weights и допустимой approximation меняет результат решения. Он не выводится из текущего default trainer либо формулы RMSE</w:t>
      </w:r>
    </w:p>
    <w:p>
      <w:pPr>
        <w:pStyle w:val="Heading2"/>
        <w:keepNext/>
      </w:pPr>
      <w:r>
        <w:t>Что из старого состояния действительно сохранять</w:t>
      </w:r>
    </w:p>
    <w:p>
      <w:pPr>
        <w:keepNext/>
        <w:keepLines/>
      </w:pPr>
      <w:r>
        <w:rPr>
          <w:b/>
        </w:rPr>
        <w:t xml:space="preserve">Рекомендуемый default. </w:t>
      </w:r>
      <w:r>
        <w:t>Inventory retained evidence и continuing guarantees; закрыть ненужные experiments и пересобрать disposable state</w:t>
      </w:r>
    </w:p>
    <w:p>
      <w:pPr>
        <w:keepNext w:val="0"/>
        <w:keepLines/>
      </w:pPr>
      <w:r>
        <w:rPr>
          <w:b/>
        </w:rPr>
        <w:t xml:space="preserve">Последствие и настоящая альтернатива. </w:t>
      </w:r>
      <w:r>
        <w:t>Не требуется хранить все demo accounts активными. Настоящую продолжающуюся гарантию или evidence нельзя молча reset/restamp</w:t>
      </w:r>
    </w:p>
    <w:p>
      <w:pPr/>
      <w:r>
        <w:t>Cross-cell protected continuation, multi-host и live DDM feed не рекомендуются в начальный обещанный scope. Если появляется названный реальный потребитель, они рассматриваются как ограниченные расширения, а не как вечные неопределённые blockers.</w:t>
      </w:r>
    </w:p>
    <w:p>
      <w:pPr>
        <w:pStyle w:val="Heading1"/>
      </w:pPr>
      <w:bookmarkStart w:id="57" w:name="section_11"/>
      <w:r>
        <w:t>11 Порядок реализации и однократного перехода</w:t>
      </w:r>
      <w:bookmarkEnd w:id="57"/>
    </w:p>
    <w:p>
      <w:pPr>
        <w:pStyle w:val="Heading2"/>
      </w:pPr>
      <w:r>
        <w:t>11.1 Сначала установить конечный scope</w:t>
      </w:r>
    </w:p>
    <w:p>
      <w:pPr/>
      <w:r>
        <w:t>Исполнитель E02 обновляет source pins и проверяет только фактически поддерживаемые callers/publishers. Отдельно проводится owner-backed inventory: retained artifacts с available inputs/rules, continuing guarantees/consumers, disposable state и неподдерживаемые aliases. Это не полномасштабная migration archaeology ради пользователей, которых нет. Это конечная проверка того, что можно безопасно пересоздать и что имеет доказательный смысл.</w:t>
      </w:r>
    </w:p>
    <w:p>
      <w:pPr/>
      <w:r>
        <w:t>Внутренний technical owner в этом документе означает границу соответствующего компонента. Он не назначает человека, организацию или issuer. Наличие entrypoint проверяется по source, а эксплуатационный consumer и право выдачи — по собственным evidence.</w:t>
      </w:r>
    </w:p>
    <w:p>
      <w:pPr>
        <w:pStyle w:val="Heading2"/>
      </w:pPr>
      <w:r>
        <w:t>11.2 Зависимости и последовательность</w:t>
      </w:r>
    </w:p>
    <w:p>
      <w:pPr>
        <w:ind w:left="331" w:hanging="331"/>
      </w:pPr>
      <w:r>
        <w:t xml:space="preserve">1. </w:t>
      </w:r>
      <w:r>
        <w:rPr>
          <w:b/>
        </w:rPr>
        <w:t>Identity и контракты результата.</w:t>
      </w:r>
      <w:r>
        <w:t xml:space="preserve"> Ввести exact selected refs, basis/occurrence separation, typed failure/status, scientific summary variants и versioned source selection. Зафиксировать supported surface. Без этого следующие receipts неоднозначны.</w:t>
      </w:r>
    </w:p>
    <w:p>
      <w:pPr>
        <w:ind w:left="331" w:hanging="331"/>
      </w:pPr>
      <w:r>
        <w:t xml:space="preserve">2. </w:t>
      </w:r>
      <w:r>
        <w:rPr>
          <w:b/>
        </w:rPr>
        <w:t>Данные и численные consumers.</w:t>
      </w:r>
      <w:r>
        <w:t xml:space="preserve"> Закрыть time/unit/variable/selection, materialization, world-model role/plan и fresh context; использовать существующие B61/B197/native training пути. Один resolved input snapshot precedes cache/resume. Эти части можно вести параллельно с Control.</w:t>
      </w:r>
    </w:p>
    <w:p>
      <w:pPr>
        <w:ind w:left="331" w:hanging="331"/>
      </w:pPr>
      <w:r>
        <w:t xml:space="preserve">3. </w:t>
      </w:r>
      <w:r>
        <w:rPr>
          <w:b/>
        </w:rPr>
        <w:t>Control и completeness.</w:t>
      </w:r>
      <w:r>
        <w:t xml:space="preserve"> Persist row ownership, purpose-limited grants, restart/fence semantics, cut-bound pagination, RouteLoop uniqueness. Проверить outward reads отдельно от execution admission.</w:t>
      </w:r>
    </w:p>
    <w:p>
      <w:pPr>
        <w:ind w:left="331" w:hanging="331"/>
      </w:pPr>
      <w:r>
        <w:t xml:space="preserve">4. </w:t>
      </w:r>
      <w:r>
        <w:rPr>
          <w:b/>
        </w:rPr>
        <w:t>Search/evaluation.</w:t>
      </w:r>
      <w:r>
        <w:t xml:space="preserve"> Протянуть exact protocol/cohort projection, metrics, immutable runs, repetitions и aggregation. Сохранить existing local champion lock в его scope. Закрыть unsupported labels, не обещая более широкий метод.</w:t>
      </w:r>
    </w:p>
    <w:p>
      <w:pPr>
        <w:ind w:left="331" w:hanging="331"/>
      </w:pPr>
      <w:r>
        <w:t xml:space="preserve">5. </w:t>
      </w:r>
      <w:r>
        <w:rPr>
          <w:b/>
        </w:rPr>
        <w:t>Strict protected mechanism.</w:t>
      </w:r>
      <w:r>
        <w:t xml:space="preserve"> После согласования semantic contracts реализовать узкий общий admission domain и E/P/U, V3 scoped packet, local currentness observations, crash reconciliation и conditional publication. На синтетических owners проверяется механизм; реальная активация пока отдельно.</w:t>
      </w:r>
    </w:p>
    <w:p>
      <w:pPr>
        <w:ind w:left="331" w:hanging="331"/>
      </w:pPr>
      <w:r>
        <w:t xml:space="preserve">6. </w:t>
      </w:r>
      <w:r>
        <w:rPr>
          <w:b/>
        </w:rPr>
        <w:t>Однократная rebuild/cutover.</w:t>
      </w:r>
      <w:r>
        <w:t xml:space="preserve"> Подготовить новые immutable artifacts, сверить affected consumers, авторизовать только нужный governed epoch transition, условно переключить current refs. Rebuild disposable caches/control metadata/derived outputs; старые evidence и frozen readers сохранить по inventory. Новые активные writes принимают только target version; ненужные dual-live paths удалить.</w:t>
      </w:r>
    </w:p>
    <w:p>
      <w:pPr>
        <w:ind w:left="331" w:hanging="331"/>
      </w:pPr>
      <w:r>
        <w:t xml:space="preserve">7. </w:t>
      </w:r>
      <w:r>
        <w:rPr>
          <w:b/>
        </w:rPr>
        <w:t>Квалификация и включение выбранного profile.</w:t>
      </w:r>
      <w:r>
        <w:t xml:space="preserve"> Получить реальные evidence/appointments для конкретного consumer, выполнить named acceptance pack, проверить холодный readback и recovery. Лишь после этого принимать отдельное решение об activation. Unrelated candidate/history work не обязано ждать этого этапа.</w:t>
      </w:r>
    </w:p>
    <w:p>
      <w:pPr>
        <w:ind w:left="331" w:hanging="331"/>
      </w:pPr>
      <w:r>
        <w:t xml:space="preserve">8. </w:t>
      </w:r>
      <w:r>
        <w:rPr>
          <w:b/>
        </w:rPr>
        <w:t>Измеренное расширение.</w:t>
      </w:r>
      <w:r>
        <w:t xml:space="preserve"> Cold baseline и реальные workload/resource receipts определяют, нужны ли incremental retrieval, richer repetitions, live feeds, иной backend или cross-cell transfer. Отсутствие измеренного узкого недостатка — причина не расширять архитектуру.</w:t>
      </w:r>
    </w:p>
    <w:p>
      <w:pPr/>
      <w:r>
        <w:t>No-user cutover позволяет короткое maintenance window и rebuild вместо постоянной dual-write совместимости. Однако raw evidence не переиздаётся от имени прошлого issuer, old owner не выводится по сегодняшнему registry, selected holdout не становится sealed после переименования, а действующее N11 family не сбрасывается.</w:t>
      </w:r>
    </w:p>
    <w:p>
      <w:pPr>
        <w:pStyle w:val="Heading2"/>
      </w:pPr>
      <w:r>
        <w:t>11.3 Что именно нельзя считать завершением</w:t>
      </w:r>
    </w:p>
    <w:p>
      <w:pPr>
        <w:pStyle w:val="ListBullet"/>
      </w:pPr>
      <w:r>
        <w:t>Документ с chosen option без actor/owner adoption evidence</w:t>
      </w:r>
    </w:p>
    <w:p>
      <w:pPr>
        <w:pStyle w:val="ListBullet"/>
      </w:pPr>
      <w:r>
        <w:t>Schema/DTO без проверенного producer→persist→cold-reader→consumer пути</w:t>
      </w:r>
    </w:p>
    <w:p>
      <w:pPr>
        <w:pStyle w:val="ListBullet"/>
      </w:pPr>
      <w:r>
        <w:t>Наличие function или passing unit test вместо promised served path</w:t>
      </w:r>
    </w:p>
    <w:p>
      <w:pPr>
        <w:pStyle w:val="ListBullet"/>
      </w:pPr>
      <w:r>
        <w:t>Green marker без raw output, точных input/view/rule pins и scope</w:t>
      </w:r>
    </w:p>
    <w:p>
      <w:pPr>
        <w:pStyle w:val="ListBullet"/>
      </w:pPr>
      <w:r>
        <w:t>Отказ на negative case вместо требуемого supported positive</w:t>
      </w:r>
    </w:p>
    <w:p>
      <w:pPr>
        <w:pStyle w:val="ListBullet"/>
      </w:pPr>
      <w:r>
        <w:t>Candidate success вместо protected property</w:t>
      </w:r>
    </w:p>
    <w:p>
      <w:pPr>
        <w:pStyle w:val="ListBullet"/>
      </w:pPr>
      <w:r>
        <w:t>Setup failure, переименованный в неоценённый predicate, или старый reported PASS, представленный новым запуском</w:t>
      </w:r>
    </w:p>
    <w:p>
      <w:pPr>
        <w:pStyle w:val="ListBullet"/>
      </w:pPr>
      <w:r>
        <w:t>Новый admission database, когда старый pointer/store всё ещё может authoritative-write в обход него</w:t>
      </w:r>
    </w:p>
    <w:p>
      <w:pPr>
        <w:pStyle w:val="Heading1"/>
      </w:pPr>
      <w:bookmarkStart w:id="58" w:name="section_12"/>
      <w:r>
        <w:t>12 Acceptance specifications для исполнителя E02</w:t>
      </w:r>
      <w:bookmarkEnd w:id="58"/>
    </w:p>
    <w:p>
      <w:pPr>
        <w:wordWrap w:val="0"/>
      </w:pPr>
      <w:r>
        <w:t xml:space="preserve">Это требования к будущим проверкам, а не выполненные тесты. Каждая spec должна иметь entrypoint, supported profile, source/dirty-state/runtime pins, exact input/view/basis/seed refs, действие, ожидаемый результат, raw receipt, cold readback при persistence и сохранённый counterexample. Positive control нужен наряду с refusal. Если premise отсутствует, проверка помечается конкретно </w:t>
      </w:r>
      <w:r>
        <w:rPr>
          <w:rFonts w:ascii="DejaVu Sans Mono" w:hAnsi="DejaVu Sans Mono"/>
          <w:sz w:val="19"/>
        </w:rPr>
        <w:t>not_started</w:t>
      </w:r>
      <w:r>
        <w:t xml:space="preserve">, </w:t>
      </w:r>
      <w:r>
        <w:rPr>
          <w:rFonts w:ascii="DejaVu Sans Mono" w:hAnsi="DejaVu Sans Mono"/>
          <w:sz w:val="19"/>
        </w:rPr>
        <w:t>setup_error</w:t>
      </w:r>
      <w:r>
        <w:t xml:space="preserve">, </w:t>
      </w:r>
      <w:r>
        <w:rPr>
          <w:rFonts w:ascii="DejaVu Sans Mono" w:hAnsi="DejaVu Sans Mono"/>
          <w:sz w:val="19"/>
        </w:rPr>
        <w:t>execution_failed</w:t>
      </w:r>
      <w:r>
        <w:t xml:space="preserve"> либо predicate </w:t>
      </w:r>
      <w:r>
        <w:rPr>
          <w:rFonts w:ascii="DejaVu Sans Mono" w:hAnsi="DejaVu Sans Mono"/>
          <w:sz w:val="19"/>
        </w:rPr>
        <w:t>UNRUN</w:t>
      </w:r>
      <w:r>
        <w:t>; область неизвестного не расширяется автоматически на другие свойства.</w:t>
      </w:r>
    </w:p>
    <w:p>
      <w:pPr>
        <w:pStyle w:val="Heading2"/>
      </w:pPr>
      <w:r>
        <w:t>12.1 Identity history и admission</w:t>
      </w:r>
    </w:p>
    <w:p>
      <w:pPr>
        <w:pStyle w:val="Heading3"/>
        <w:keepNext/>
      </w:pPr>
      <w:r>
        <w:t>A01 Selected view</w:t>
      </w:r>
    </w:p>
    <w:p>
      <w:pPr>
        <w:keepNext/>
        <w:keepLines/>
      </w:pPr>
      <w:r>
        <w:rPr>
          <w:b/>
        </w:rPr>
        <w:t xml:space="preserve">Воздействие. </w:t>
      </w:r>
      <w:r>
        <w:t>Одни bytes с двумя несовместимыми profiles; missing selector; exact valid selector; owner bytes changed при прежнем claimed candidate hash</w:t>
      </w:r>
    </w:p>
    <w:p>
      <w:pPr>
        <w:keepNext w:val="0"/>
        <w:keepLines/>
      </w:pPr>
      <w:r>
        <w:rPr>
          <w:b/>
        </w:rPr>
        <w:t xml:space="preserve">Что требуется наблюдать. </w:t>
      </w:r>
      <w:r>
        <w:t>Текущий typed reader отвергает ambiguity; valid view холодно открывается с тем же kind/schema; другой tenant не получает доступ по совпавшему digest; repetition требует recomputed owner projection equality</w:t>
      </w:r>
    </w:p>
    <w:p>
      <w:pPr>
        <w:pStyle w:val="Heading3"/>
        <w:keepNext/>
      </w:pPr>
      <w:r>
        <w:t>A02 Исторический rule</w:t>
      </w:r>
    </w:p>
    <w:p>
      <w:pPr>
        <w:keepNext/>
        <w:keepLines/>
      </w:pPr>
      <w:r>
        <w:rPr>
          <w:b/>
        </w:rPr>
        <w:t xml:space="preserve">Воздействие. </w:t>
      </w:r>
      <w:r>
        <w:t>Изменить current rule/clock/registry после фиксации record</w:t>
      </w:r>
    </w:p>
    <w:p>
      <w:pPr>
        <w:keepNext w:val="0"/>
        <w:keepLines/>
      </w:pPr>
      <w:r>
        <w:rPr>
          <w:b/>
        </w:rPr>
        <w:t xml:space="preserve">Что требуется наблюдать. </w:t>
      </w:r>
      <w:r>
        <w:t>Frozen replay прежнего record не меняется; отсутствующий rule даёт recorded-only/unsupported, не reinterpretation</w:t>
      </w:r>
    </w:p>
    <w:p>
      <w:pPr>
        <w:pStyle w:val="Heading3"/>
        <w:keepNext/>
      </w:pPr>
      <w:r>
        <w:t>A03 Scoped currentness</w:t>
      </w:r>
    </w:p>
    <w:p>
      <w:pPr>
        <w:keepNext/>
        <w:keepLines/>
      </w:pPr>
      <w:r>
        <w:rPr>
          <w:b/>
        </w:rPr>
        <w:t xml:space="preserve">Воздействие. </w:t>
      </w:r>
      <w:r>
        <w:t>Изменить unrelated tenant claim; затем relevant claim withdraw/readmit</w:t>
      </w:r>
    </w:p>
    <w:p>
      <w:pPr>
        <w:keepNext w:val="0"/>
        <w:keepLines/>
      </w:pPr>
      <w:r>
        <w:rPr>
          <w:b/>
        </w:rPr>
        <w:t xml:space="preserve">Что требуется наблюдать. </w:t>
      </w:r>
      <w:r>
        <w:t>Unrelated изменение не stale; relevant monotonic revision предотвращает ABA и меняет protected-use verdict</w:t>
      </w:r>
    </w:p>
    <w:p>
      <w:pPr>
        <w:pStyle w:val="Heading3"/>
        <w:keepNext/>
      </w:pPr>
      <w:r>
        <w:t>A04 External as-of</w:t>
      </w:r>
    </w:p>
    <w:p>
      <w:pPr>
        <w:keepNext/>
        <w:keepLines/>
      </w:pPr>
      <w:r>
        <w:rPr>
          <w:b/>
        </w:rPr>
        <w:t xml:space="preserve">Воздействие. </w:t>
      </w:r>
      <w:r>
        <w:t>Remote withdrawal без нового local snapshot; затем expiry</w:t>
      </w:r>
    </w:p>
    <w:p>
      <w:pPr>
        <w:keepNext w:val="0"/>
        <w:keepLines/>
      </w:pPr>
      <w:r>
        <w:rPr>
          <w:b/>
        </w:rPr>
        <w:t xml:space="preserve">Что требуется наблюдать. </w:t>
      </w:r>
      <w:r>
        <w:t>Ответ явно несёт старую observation boundary; после expiry freshness-dependent claim unavailable, bytes/history остаются</w:t>
      </w:r>
    </w:p>
    <w:p>
      <w:pPr>
        <w:pStyle w:val="Heading3"/>
        <w:keepNext/>
      </w:pPr>
      <w:r>
        <w:t>A05 E accounting</w:t>
      </w:r>
    </w:p>
    <w:p>
      <w:pPr>
        <w:keepNext/>
        <w:keepLines/>
      </w:pPr>
      <w:r>
        <w:rPr>
          <w:b/>
        </w:rPr>
        <w:t xml:space="preserve">Воздействие. </w:t>
      </w:r>
      <w:r>
        <w:t>Crash до E, после E, negative evaluation, P refusal, lost E ack</w:t>
      </w:r>
    </w:p>
    <w:p>
      <w:pPr>
        <w:keepNext w:val="0"/>
        <w:keepLines/>
      </w:pPr>
      <w:r>
        <w:rPr>
          <w:b/>
        </w:rPr>
        <w:t xml:space="preserve">Что требуется наблюдать. </w:t>
      </w:r>
      <w:r>
        <w:t>До E execution не начат; после E obligation не исчезает; retry тот же key не создаёт второй debit; changed digest конфликтует</w:t>
      </w:r>
    </w:p>
    <w:p>
      <w:pPr>
        <w:pStyle w:val="Heading3"/>
        <w:keepNext/>
      </w:pPr>
      <w:r>
        <w:t>A06 Selection validity</w:t>
      </w:r>
    </w:p>
    <w:p>
      <w:pPr>
        <w:keepNext/>
        <w:keepLines/>
      </w:pPr>
      <w:r>
        <w:rPr>
          <w:b/>
        </w:rPr>
        <w:t xml:space="preserve">Воздействие. </w:t>
      </w:r>
      <w:r>
        <w:t>Лучший из 100 просмотренных null tests перенести в новый family</w:t>
      </w:r>
    </w:p>
    <w:p>
      <w:pPr>
        <w:keepNext w:val="0"/>
        <w:keepLines/>
      </w:pPr>
      <w:r>
        <w:rPr>
          <w:b/>
        </w:rPr>
        <w:t xml:space="preserve">Что требуется наблюдать. </w:t>
      </w:r>
      <w:r>
        <w:t>5%-ный confirmatory claim отказывает без valid reuse method; predeclared fresh validation проходит соответствующий positive control</w:t>
      </w:r>
    </w:p>
    <w:p>
      <w:pPr>
        <w:pStyle w:val="Heading3"/>
        <w:keepNext/>
      </w:pPr>
      <w:r>
        <w:t>A07 P против отмены</w:t>
      </w:r>
    </w:p>
    <w:p>
      <w:pPr>
        <w:keepNext/>
        <w:keepLines/>
      </w:pPr>
      <w:r>
        <w:rPr>
          <w:b/>
        </w:rPr>
        <w:t xml:space="preserve">Воздействие. </w:t>
      </w:r>
      <w:r>
        <w:t>Пауза после подготовки; C committed до P; затем обратный порядок</w:t>
      </w:r>
    </w:p>
    <w:p>
      <w:pPr>
        <w:keepNext w:val="0"/>
        <w:keepLines/>
      </w:pPr>
      <w:r>
        <w:rPr>
          <w:b/>
        </w:rPr>
        <w:t xml:space="preserve">Что требуется наблюдать. </w:t>
      </w:r>
      <w:r>
        <w:t>C-before-P отказывает; P-before-C сохраняет историческое admission, но новый U видит отмену</w:t>
      </w:r>
    </w:p>
    <w:p>
      <w:pPr>
        <w:pStyle w:val="Heading3"/>
        <w:keepNext/>
      </w:pPr>
      <w:r>
        <w:t>A08 Recovery и U</w:t>
      </w:r>
    </w:p>
    <w:p>
      <w:pPr>
        <w:keepNext/>
        <w:keepLines/>
      </w:pPr>
      <w:r>
        <w:rPr>
          <w:b/>
        </w:rPr>
        <w:t xml:space="preserve">Воздействие. </w:t>
      </w:r>
      <w:r>
        <w:t>Lost P ack, lagging outbox projection, cold reopen; lost external effect ack</w:t>
      </w:r>
    </w:p>
    <w:p>
      <w:pPr>
        <w:keepNext w:val="0"/>
        <w:keepLines/>
      </w:pPr>
      <w:r>
        <w:rPr>
          <w:b/>
        </w:rPr>
        <w:t xml:space="preserve">Что требуется наблюдать. </w:t>
      </w:r>
      <w:r>
        <w:t>Один canonical event/pointer и отсутствие нового риска; projection восстанавливается idempotently; внешний outcome unknown до reconciliation</w:t>
      </w:r>
    </w:p>
    <w:p>
      <w:pPr>
        <w:pStyle w:val="Heading3"/>
        <w:keepNext/>
      </w:pPr>
      <w:r>
        <w:t>A09 Fence clock restart</w:t>
      </w:r>
    </w:p>
    <w:p>
      <w:pPr>
        <w:keepNext/>
        <w:keepLines/>
      </w:pPr>
      <w:r>
        <w:rPr>
          <w:b/>
        </w:rPr>
        <w:t xml:space="preserve">Воздействие. </w:t>
      </w:r>
      <w:r>
        <w:t>Paused old worker, owner restart, backward clock, lease expiry при slow commit</w:t>
      </w:r>
    </w:p>
    <w:p>
      <w:pPr>
        <w:keepNext w:val="0"/>
        <w:keepLines/>
      </w:pPr>
      <w:r>
        <w:rPr>
          <w:b/>
        </w:rPr>
        <w:t xml:space="preserve">Что требуется наблюдать. </w:t>
      </w:r>
      <w:r>
        <w:t>Старый epoch не пишет; eligibility соответствует recorded admission time; нет ложного hard-real-time обещания; прежняя logical operation/E сохранены</w:t>
      </w:r>
    </w:p>
    <w:p>
      <w:pPr>
        <w:pStyle w:val="Heading3"/>
        <w:keepNext/>
      </w:pPr>
      <w:r>
        <w:t>A10 Backend envelope</w:t>
      </w:r>
    </w:p>
    <w:p>
      <w:pPr>
        <w:keepNext/>
        <w:keepLines/>
      </w:pPr>
      <w:r>
        <w:rPr>
          <w:b/>
        </w:rPr>
        <w:t xml:space="preserve">Воздействие. </w:t>
      </w:r>
      <w:r>
        <w:t>Raw bypass publisher, другой store/root, separate authoritative SQLite files</w:t>
      </w:r>
    </w:p>
    <w:p>
      <w:pPr>
        <w:keepNext w:val="0"/>
        <w:keepLines/>
      </w:pPr>
      <w:r>
        <w:rPr>
          <w:b/>
        </w:rPr>
        <w:t xml:space="preserve">Что требуется наблюдать. </w:t>
      </w:r>
      <w:r>
        <w:t>Нет supported protected success; реальный admitted same-domain путь проходит; process-crash evidence не заявляет power-loss proof</w:t>
      </w:r>
    </w:p>
    <w:p>
      <w:pPr>
        <w:pStyle w:val="Heading2"/>
      </w:pPr>
      <w:r>
        <w:t>12.2 Scope source и scientific semantics</w:t>
      </w:r>
    </w:p>
    <w:p>
      <w:pPr>
        <w:pStyle w:val="Heading3"/>
        <w:keepNext/>
      </w:pPr>
      <w:r>
        <w:t>A11 Ownership и cell</w:t>
      </w:r>
    </w:p>
    <w:p>
      <w:pPr>
        <w:keepNext/>
        <w:keepLines/>
      </w:pPr>
      <w:r>
        <w:rPr>
          <w:b/>
        </w:rPr>
        <w:t xml:space="preserve">Воздействие. </w:t>
      </w:r>
      <w:r>
        <w:t>Foreign/unknown-owner status; reassignment при active family и source job</w:t>
      </w:r>
    </w:p>
    <w:p>
      <w:pPr>
        <w:keepNext w:val="0"/>
        <w:keepLines/>
      </w:pPr>
      <w:r>
        <w:rPr>
          <w:b/>
        </w:rPr>
        <w:t xml:space="preserve">Что требуется наблюдать. </w:t>
      </w:r>
      <w:r>
        <w:t>Public refusal не раскрывает различие existence; старые owner/spend неизменны; cross-cell protected continuation явно unsupported</w:t>
      </w:r>
    </w:p>
    <w:p>
      <w:pPr>
        <w:pStyle w:val="Heading3"/>
        <w:keepNext/>
      </w:pPr>
      <w:r>
        <w:t>A12 Completeness</w:t>
      </w:r>
    </w:p>
    <w:p>
      <w:pPr>
        <w:keepNext/>
        <w:keepLines/>
      </w:pPr>
      <w:r>
        <w:rPr>
          <w:b/>
        </w:rPr>
        <w:t xml:space="preserve">Воздействие. </w:t>
      </w:r>
      <w:r>
        <w:t>Более 1000 rows, поздний duplicate terminal, empty continuation page, unreadable candidate, late smaller-ID commit</w:t>
      </w:r>
    </w:p>
    <w:p>
      <w:pPr>
        <w:keepNext w:val="0"/>
        <w:keepLines/>
      </w:pPr>
      <w:r>
        <w:rPr>
          <w:b/>
        </w:rPr>
        <w:t xml:space="preserve">Что требуется наблюдать. </w:t>
      </w:r>
      <w:r>
        <w:t>Нет false unique/absence; complete-as-of привязан к cut; partial individual movement допустим; current use отдельно re-admitted</w:t>
      </w:r>
    </w:p>
    <w:p>
      <w:pPr>
        <w:pStyle w:val="Heading3"/>
        <w:keepNext/>
      </w:pPr>
      <w:r>
        <w:t>A13 Scientific types</w:t>
      </w:r>
    </w:p>
    <w:p>
      <w:pPr>
        <w:keepNext/>
        <w:keepLines/>
      </w:pPr>
      <w:r>
        <w:rPr>
          <w:b/>
        </w:rPr>
        <w:t xml:space="preserve">Воздействие. </w:t>
      </w:r>
      <w:r>
        <w:t>Point вне equal-tail interval; robust set; disconnected region; rescale unit</w:t>
      </w:r>
    </w:p>
    <w:p>
      <w:pPr>
        <w:keepNext w:val="0"/>
        <w:keepLines/>
      </w:pPr>
      <w:r>
        <w:rPr>
          <w:b/>
        </w:rPr>
        <w:t xml:space="preserve">Что требуется наблюдать. </w:t>
      </w:r>
      <w:r>
        <w:t>Типы и functional сохраняются, нет CI/identification смешения или искусственного containment</w:t>
      </w:r>
    </w:p>
    <w:p>
      <w:pPr>
        <w:pStyle w:val="Heading3"/>
        <w:keepNext/>
      </w:pPr>
      <w:r>
        <w:t>A14 Joint/failure mass</w:t>
      </w:r>
    </w:p>
    <w:p>
      <w:pPr>
        <w:keepNext/>
        <w:keepLines/>
      </w:pPr>
      <w:r>
        <w:rPr>
          <w:b/>
        </w:rPr>
        <w:t xml:space="preserve">Воздействие. </w:t>
      </w:r>
      <w:r>
        <w:t>Совпадающие marginals с разной pairing; half failed draws; retry одного draw</w:t>
      </w:r>
    </w:p>
    <w:p>
      <w:pPr>
        <w:keepNext w:val="0"/>
        <w:keepLines/>
      </w:pPr>
      <w:r>
        <w:rPr>
          <w:b/>
        </w:rPr>
        <w:t xml:space="preserve">Что требуется наблюдать. </w:t>
      </w:r>
      <w:r>
        <w:t>Joint result меняется с pairing; unconditional claim withheld при неизвестной failed mass; retry не добавляет массу</w:t>
      </w:r>
    </w:p>
    <w:p>
      <w:pPr>
        <w:pStyle w:val="Heading3"/>
        <w:keepNext/>
      </w:pPr>
      <w:r>
        <w:t>A15 Calibration</w:t>
      </w:r>
    </w:p>
    <w:p>
      <w:pPr>
        <w:keepNext/>
        <w:keepLines/>
      </w:pPr>
      <w:r>
        <w:rPr>
          <w:b/>
        </w:rPr>
        <w:t xml:space="preserve">Воздействие. </w:t>
      </w:r>
      <w:r>
        <w:t>Exact tied parameters и singular PSD covariance; materially indefinite matrix; wrong report kind</w:t>
      </w:r>
    </w:p>
    <w:p>
      <w:pPr>
        <w:keepNext w:val="0"/>
        <w:keepLines/>
      </w:pPr>
      <w:r>
        <w:rPr>
          <w:b/>
        </w:rPr>
        <w:t xml:space="preserve">Что требуется наблюдать. </w:t>
      </w:r>
      <w:r>
        <w:t>Сохраняются zero-variance ties; invalid matrix/port отказывают; поддержанный producer→persist→typed consumer проходит</w:t>
      </w:r>
    </w:p>
    <w:p>
      <w:pPr>
        <w:pStyle w:val="Heading3"/>
        <w:keepNext/>
      </w:pPr>
      <w:r>
        <w:t>A16 Time и source</w:t>
      </w:r>
    </w:p>
    <w:p>
      <w:pPr>
        <w:keepNext/>
        <w:keepLines/>
      </w:pPr>
      <w:r>
        <w:rPr>
          <w:b/>
        </w:rPr>
        <w:t xml:space="preserve">Воздействие. </w:t>
      </w:r>
      <w:r>
        <w:t>Поздняя vintage, wrong geography/indicator/unit, изменённый outcome после hash</w:t>
      </w:r>
    </w:p>
    <w:p>
      <w:pPr>
        <w:keepNext w:val="0"/>
        <w:keepLines/>
      </w:pPr>
      <w:r>
        <w:rPr>
          <w:b/>
        </w:rPr>
        <w:t xml:space="preserve">Что требуется наблюдать. </w:t>
      </w:r>
      <w:r>
        <w:t>Нет future leakage и подмены target; exact supported row может быть candidate с отдельным unknown vintage</w:t>
      </w:r>
    </w:p>
    <w:p>
      <w:pPr>
        <w:pStyle w:val="Heading3"/>
        <w:keepNext/>
      </w:pPr>
      <w:r>
        <w:t>A17 Materialization/world</w:t>
      </w:r>
    </w:p>
    <w:p>
      <w:pPr>
        <w:keepNext/>
        <w:keepLines/>
      </w:pPr>
      <w:r>
        <w:rPr>
          <w:b/>
        </w:rPr>
        <w:t xml:space="preserve">Воздействие. </w:t>
      </w:r>
      <w:r>
        <w:t>Set versus offset, wrong slot/unit, policy graph вместо world graph, изменённый order</w:t>
      </w:r>
    </w:p>
    <w:p>
      <w:pPr>
        <w:keepNext w:val="0"/>
        <w:keepLines/>
      </w:pPr>
      <w:r>
        <w:rPr>
          <w:b/>
        </w:rPr>
        <w:t xml:space="preserve">Что требуется наблюдать. </w:t>
      </w:r>
      <w:r>
        <w:t>Точные submitted assignments и engine consumption; неправильные bindings отказывают; controlled sensitive model положителен</w:t>
      </w:r>
    </w:p>
    <w:p>
      <w:pPr>
        <w:pStyle w:val="Heading3"/>
        <w:keepNext/>
      </w:pPr>
      <w:r>
        <w:t>A18 Acquisition/context</w:t>
      </w:r>
    </w:p>
    <w:p>
      <w:pPr>
        <w:keepNext/>
        <w:keepLines/>
      </w:pPr>
      <w:r>
        <w:rPr>
          <w:b/>
        </w:rPr>
        <w:t xml:space="preserve">Воздействие. </w:t>
      </w:r>
      <w:r>
        <w:t>Новое admitted evidence, дубликат bytes, unchanged numerical result, old completed lease</w:t>
      </w:r>
    </w:p>
    <w:p>
      <w:pPr>
        <w:keepNext w:val="0"/>
        <w:keepLines/>
      </w:pPr>
      <w:r>
        <w:rPr>
          <w:b/>
        </w:rPr>
        <w:t xml:space="preserve">Что требуется наблюдать. </w:t>
      </w:r>
      <w:r>
        <w:t>Fresh basis/context и текущий grant; no-op и отсутствие measured improvement честно различаются; old lease не используется</w:t>
      </w:r>
    </w:p>
    <w:p>
      <w:pPr>
        <w:pStyle w:val="Heading3"/>
        <w:keepNext/>
      </w:pPr>
      <w:r>
        <w:t>A19 Reuse coherence</w:t>
      </w:r>
    </w:p>
    <w:p>
      <w:pPr>
        <w:keepNext/>
        <w:keepLines/>
      </w:pPr>
      <w:r>
        <w:rPr>
          <w:b/>
        </w:rPr>
        <w:t xml:space="preserve">Воздействие. </w:t>
      </w:r>
      <w:r>
        <w:t>Same-size change, optional presence, unreadable optional, output replacement, WAL-only change, mixed generations</w:t>
      </w:r>
    </w:p>
    <w:p>
      <w:pPr>
        <w:keepNext w:val="0"/>
        <w:keepLines/>
      </w:pPr>
      <w:r>
        <w:rPr>
          <w:b/>
        </w:rPr>
        <w:t xml:space="preserve">Что требуется наблюдать. </w:t>
      </w:r>
      <w:r>
        <w:t>Reuse invalidated или bounded limitation; unchanged exact snapshot hit сохраняет original lineage; unproved coherent cut не заявляется</w:t>
      </w:r>
    </w:p>
    <w:p>
      <w:pPr>
        <w:pStyle w:val="Heading3"/>
        <w:keepNext/>
      </w:pPr>
      <w:r>
        <w:t>A20 L2/epochs/ABI</w:t>
      </w:r>
    </w:p>
    <w:p>
      <w:pPr>
        <w:keepNext/>
        <w:keepLines/>
      </w:pPr>
      <w:r>
        <w:rPr>
          <w:b/>
        </w:rPr>
        <w:t xml:space="preserve">Воздействие. </w:t>
      </w:r>
      <w:r>
        <w:t>Скрытый restricted confidence; renamed DB; mixed epoch; historical W5 без receipt; alias removal</w:t>
      </w:r>
    </w:p>
    <w:p>
      <w:pPr>
        <w:keepNext w:val="0"/>
        <w:keepLines/>
      </w:pPr>
      <w:r>
        <w:rPr>
          <w:b/>
        </w:rPr>
        <w:t xml:space="preserve">Что требуется наблюдать. </w:t>
      </w:r>
      <w:r>
        <w:t>Confidence withheld; новый admission только для настоящего occurrence; current cutover conditional; W5 unknown не restamped; retained callers работают</w:t>
      </w:r>
    </w:p>
    <w:p>
      <w:pPr>
        <w:pStyle w:val="Heading2"/>
      </w:pPr>
      <w:r>
        <w:t>12.3 Search evaluation и точная граница обещания</w:t>
      </w:r>
    </w:p>
    <w:p>
      <w:pPr>
        <w:pStyle w:val="Heading3"/>
        <w:keepNext/>
      </w:pPr>
      <w:r>
        <w:t>A21 Metric/cohort</w:t>
      </w:r>
    </w:p>
    <w:p>
      <w:pPr>
        <w:keepNext/>
        <w:keepLines/>
      </w:pPr>
      <w:r>
        <w:rPr>
          <w:b/>
        </w:rPr>
        <w:t xml:space="preserve">Воздействие. </w:t>
      </w:r>
      <w:r>
        <w:t>Signed improvement и unit rescale; allowed model variation; changed population; missing hard cells; lucky-seed selection</w:t>
      </w:r>
    </w:p>
    <w:p>
      <w:pPr>
        <w:keepNext w:val="0"/>
        <w:keepLines/>
      </w:pPr>
      <w:r>
        <w:rPr>
          <w:b/>
        </w:rPr>
        <w:t xml:space="preserve">Что требуется наблюдать. </w:t>
      </w:r>
      <w:r>
        <w:t>Plateau operational-only; valid owner projection допускает intentional variation, запрещает смену target/denominator вне протокола</w:t>
      </w:r>
    </w:p>
    <w:p>
      <w:pPr>
        <w:pStyle w:val="Heading3"/>
        <w:keepNext/>
      </w:pPr>
      <w:r>
        <w:t>A22 Champion/run</w:t>
      </w:r>
    </w:p>
    <w:p>
      <w:pPr>
        <w:keepNext/>
        <w:keepLines/>
      </w:pPr>
      <w:r>
        <w:rPr>
          <w:b/>
        </w:rPr>
        <w:t xml:space="preserve">Воздействие. </w:t>
      </w:r>
      <w:r>
        <w:t>Два publishers читают A=1, публикуют C=3 и B=2; повтор ID/different result</w:t>
      </w:r>
    </w:p>
    <w:p>
      <w:pPr>
        <w:keepNext w:val="0"/>
        <w:keepLines/>
      </w:pPr>
      <w:r>
        <w:rPr>
          <w:b/>
        </w:rPr>
        <w:t xml:space="preserve">Что требуется наблюдать. </w:t>
      </w:r>
      <w:r>
        <w:t>Финальный C; retry same operation idempotent; completed run conflict отказывает; lock scope совпадает с pointer scope</w:t>
      </w:r>
    </w:p>
    <w:p>
      <w:pPr>
        <w:pStyle w:val="Heading3"/>
        <w:keepNext/>
      </w:pPr>
      <w:r>
        <w:t>A23 Forecast/repetitions/weights</w:t>
      </w:r>
    </w:p>
    <w:p>
      <w:pPr>
        <w:keepNext/>
        <w:keepLines/>
      </w:pPr>
      <w:r>
        <w:rPr>
          <w:b/>
        </w:rPr>
        <w:t xml:space="preserve">Воздействие. </w:t>
      </w:r>
      <w:r>
        <w:t>Aggregate вместо trajectory, n=7 на single adapter, failed replicate, shard split, changed jurisdiction weights</w:t>
      </w:r>
    </w:p>
    <w:p>
      <w:pPr>
        <w:keepNext w:val="0"/>
        <w:keepLines/>
      </w:pPr>
      <w:r>
        <w:rPr>
          <w:b/>
        </w:rPr>
        <w:t xml:space="preserve">Что требуется наблюдать. </w:t>
      </w:r>
      <w:r>
        <w:t>Нет fake trajectory/repetitions; denominator сохранён; shard не меняет научный metric; weights явно меняют profile/cohort</w:t>
      </w:r>
    </w:p>
    <w:p>
      <w:pPr>
        <w:pStyle w:val="Heading3"/>
        <w:keepNext/>
      </w:pPr>
      <w:r>
        <w:t>A24 Economics/training/RDD</w:t>
      </w:r>
    </w:p>
    <w:p>
      <w:pPr>
        <w:keepNext/>
        <w:keepLines/>
      </w:pPr>
      <w:r>
        <w:rPr>
          <w:b/>
        </w:rPr>
        <w:t xml:space="preserve">Воздействие. </w:t>
      </w:r>
      <w:r>
        <w:t>Unsupported domain train; known-sensitive native train; hard constraint as penalty; corrected label без variance</w:t>
      </w:r>
    </w:p>
    <w:p>
      <w:pPr>
        <w:keepNext w:val="0"/>
        <w:keepLines/>
      </w:pPr>
      <w:r>
        <w:rPr>
          <w:b/>
        </w:rPr>
        <w:t xml:space="preserve">Что требуется наблюдать. </w:t>
      </w:r>
      <w:r>
        <w:t>Truthful rollout либо actual bounded learning; learned-state cold reload; constraint соблюдён; unsupported correction withheld</w:t>
      </w:r>
    </w:p>
    <w:p>
      <w:pPr>
        <w:pStyle w:val="Heading3"/>
        <w:keepNext/>
      </w:pPr>
      <w:r>
        <w:t>A25 Robustness/readiness</w:t>
      </w:r>
    </w:p>
    <w:p>
      <w:pPr>
        <w:keepNext/>
        <w:keepLines/>
      </w:pPr>
      <w:r>
        <w:rPr>
          <w:b/>
        </w:rPr>
        <w:t xml:space="preserve">Воздействие. </w:t>
      </w:r>
      <w:r>
        <w:t>10 pass из 100; display top-k; R4 false; R2 signoff с independent deny; stale live feed</w:t>
      </w:r>
    </w:p>
    <w:p>
      <w:pPr>
        <w:keepNext w:val="0"/>
        <w:keepLines/>
      </w:pPr>
      <w:r>
        <w:rPr>
          <w:b/>
        </w:rPr>
        <w:t xml:space="preserve">Что требуется наблюдать. </w:t>
      </w:r>
      <w:r>
        <w:t>Нет full-set pass; display не меняет счёт; deny не исчезает; local gate не заявляет live coverage</w:t>
      </w:r>
    </w:p>
    <w:p>
      <w:pPr>
        <w:pStyle w:val="Heading3"/>
        <w:keepNext/>
      </w:pPr>
      <w:r>
        <w:t>A26 Retrieval/resources</w:t>
      </w:r>
    </w:p>
    <w:p>
      <w:pPr>
        <w:keepNext/>
        <w:keepLines/>
      </w:pPr>
      <w:r>
        <w:rPr>
          <w:b/>
        </w:rPr>
        <w:t xml:space="preserve">Воздействие. </w:t>
      </w:r>
      <w:r>
        <w:t>Changed edge вне top-80; identical-ref reuse; cold child; resource guard stop</w:t>
      </w:r>
    </w:p>
    <w:p>
      <w:pPr>
        <w:keepNext w:val="0"/>
        <w:keepLines/>
      </w:pPr>
      <w:r>
        <w:rPr>
          <w:b/>
        </w:rPr>
        <w:t xml:space="preserve">Что требуется наблюдать. </w:t>
      </w:r>
      <w:r>
        <w:t>Exact ordered downstream equivalence; same-ref hit не называется incremental child; весь resource cost учтён; stop не scientific failure</w:t>
      </w:r>
    </w:p>
    <w:p>
      <w:pPr>
        <w:pStyle w:val="Heading3"/>
        <w:keepNext/>
      </w:pPr>
      <w:r>
        <w:t>A27 Appendix-A</w:t>
      </w:r>
    </w:p>
    <w:p>
      <w:pPr>
        <w:keepNext/>
        <w:keepLines/>
      </w:pPr>
      <w:r>
        <w:rPr>
          <w:b/>
        </w:rPr>
        <w:t xml:space="preserve">Воздействие. </w:t>
      </w:r>
      <w:r>
        <w:t>Каждый из четырёх entrypoints/property отдельно</w:t>
      </w:r>
    </w:p>
    <w:p>
      <w:pPr>
        <w:keepNext w:val="0"/>
        <w:keepLines/>
      </w:pPr>
      <w:r>
        <w:rPr>
          <w:b/>
        </w:rPr>
        <w:t xml:space="preserve">Что требуется наблюдать. </w:t>
      </w:r>
      <w:r>
        <w:t>HTTP refusal, direct context behavior, bounded compiler и served controlled N5 positive имеют разные IDs и receipts; ни один не подменяет real-source/N4/S8 proof</w:t>
      </w:r>
    </w:p>
    <w:p>
      <w:pPr>
        <w:pStyle w:val="Heading3"/>
        <w:keepNext/>
      </w:pPr>
      <w:r>
        <w:t>A28 Cache cloud ABI</w:t>
      </w:r>
    </w:p>
    <w:p>
      <w:pPr>
        <w:keepNext/>
        <w:keepLines/>
      </w:pPr>
      <w:r>
        <w:rPr>
          <w:b/>
        </w:rPr>
        <w:t xml:space="preserve">Воздействие. </w:t>
      </w:r>
      <w:r>
        <w:t>Local/proxy denial при origin allow; raw signature tuple смешан по object versions; отсутствующий canonical export</w:t>
      </w:r>
    </w:p>
    <w:p>
      <w:pPr>
        <w:keepNext w:val="0"/>
        <w:keepLines/>
      </w:pPr>
      <w:r>
        <w:rPr>
          <w:b/>
        </w:rPr>
        <w:t xml:space="preserve">Что требуется наблюдать. </w:t>
      </w:r>
      <w:r>
        <w:t>Denial не miss; нет unsigned authority fallback; built package и grammar corpus соответствуют выбранному narrow API</w:t>
      </w:r>
    </w:p>
    <w:p>
      <w:pPr>
        <w:pStyle w:val="Heading3"/>
        <w:keepNext/>
      </w:pPr>
      <w:r>
        <w:t>A29 SIM03</w:t>
      </w:r>
    </w:p>
    <w:p>
      <w:pPr>
        <w:keepNext/>
        <w:keepLines/>
      </w:pPr>
      <w:r>
        <w:rPr>
          <w:b/>
        </w:rPr>
        <w:t xml:space="preserve">Воздействие. </w:t>
      </w:r>
      <w:r>
        <w:t>Смена comparator; empty/absent factual evidence; one draw; paired versus independent MCSE; metric missing у сильного candidate</w:t>
      </w:r>
    </w:p>
    <w:p>
      <w:pPr>
        <w:keepNext w:val="0"/>
        <w:keepLines/>
      </w:pPr>
      <w:r>
        <w:rPr>
          <w:b/>
        </w:rPr>
        <w:t xml:space="preserve">Что требуется наблюдать. </w:t>
      </w:r>
      <w:r>
        <w:t>Estimand и factual refs сохранены; precision method/denominator честны; optional diagnostic не меняет rank; required missing не делает winner</w:t>
      </w:r>
    </w:p>
    <w:p>
      <w:pPr>
        <w:pStyle w:val="Heading3"/>
        <w:keepNext/>
      </w:pPr>
      <w:r>
        <w:t>A30 B111</w:t>
      </w:r>
    </w:p>
    <w:p>
      <w:pPr>
        <w:keepNext/>
        <w:keepLines/>
      </w:pPr>
      <w:r>
        <w:rPr>
          <w:b/>
        </w:rPr>
        <w:t xml:space="preserve">Воздействие. </w:t>
      </w:r>
      <w:r>
        <w:t>Убрать axis, upstream candidate C, все finite coordinates; добавить старый fallback или inherited champion прежней попытки</w:t>
      </w:r>
    </w:p>
    <w:p>
      <w:pPr>
        <w:keepNext w:val="0"/>
        <w:keepLines/>
      </w:pPr>
      <w:r>
        <w:rPr>
          <w:b/>
        </w:rPr>
        <w:t xml:space="preserve">Что требуется наблюдать. </w:t>
      </w:r>
      <w:r>
        <w:t>Нет сокращённого objective/universe; observed subset явно ограничен; all-evaluated-unrankable не публикует champion и не стирает costs/E; required downstream принимает только selected от expected producer/current execution/attempt</w:t>
      </w:r>
    </w:p>
    <w:p>
      <w:pPr>
        <w:pStyle w:val="Heading3"/>
        <w:keepNext/>
      </w:pPr>
      <w:r>
        <w:t>A31 Prior platform drift</w:t>
      </w:r>
    </w:p>
    <w:p>
      <w:pPr>
        <w:keepNext/>
        <w:keepLines/>
      </w:pPr>
      <w:r>
        <w:rPr>
          <w:b/>
        </w:rPr>
        <w:t xml:space="preserve">Воздействие. </w:t>
      </w:r>
      <w:r>
        <w:t>Повторно получить то же observation; заменить success на failure; Darwin companion под Linux; изменить projector values при тех же markers</w:t>
      </w:r>
    </w:p>
    <w:p>
      <w:pPr>
        <w:keepNext w:val="0"/>
        <w:keepLines/>
      </w:pPr>
      <w:r>
        <w:rPr>
          <w:b/>
        </w:rPr>
        <w:t xml:space="preserve">Что требуется наблюдать. </w:t>
      </w:r>
      <w:r>
        <w:t>Нет double counting; replacement вместо добавления revision; target-scoped dependency identity; historical bytes intact при typed semantic drift</w:t>
      </w:r>
    </w:p>
    <w:p>
      <w:pPr>
        <w:pStyle w:val="Heading3"/>
        <w:keepNext/>
      </w:pPr>
      <w:r>
        <w:t>A32 Governed public read</w:t>
      </w:r>
    </w:p>
    <w:p>
      <w:pPr>
        <w:keepNext/>
        <w:keepLines/>
      </w:pPr>
      <w:r>
        <w:rPr>
          <w:b/>
        </w:rPr>
        <w:t xml:space="preserve">Воздействие. </w:t>
      </w:r>
      <w:r>
        <w:t>Удалить только closure при valid unkeyed index; подменить purpose/ref; создать closure из request без verification</w:t>
      </w:r>
    </w:p>
    <w:p>
      <w:pPr>
        <w:keepNext w:val="0"/>
        <w:keepLines/>
      </w:pPr>
      <w:r>
        <w:rPr>
          <w:b/>
        </w:rPr>
        <w:t xml:space="preserve">Что требуется наблюдать. </w:t>
      </w:r>
      <w:r>
        <w:t>Anonymous GET/watcher отказывает до первого private open; release projection не раскрывает private fields; next watch iteration видит withdrawal; другие claims сохранены</w:t>
      </w:r>
    </w:p>
    <w:p>
      <w:pPr>
        <w:pStyle w:val="Heading3"/>
        <w:keepNext/>
      </w:pPr>
      <w:r>
        <w:t>A33 Scheduler dimensions</w:t>
      </w:r>
    </w:p>
    <w:p>
      <w:pPr>
        <w:keepNext/>
        <w:keepLines/>
      </w:pPr>
      <w:r>
        <w:rPr>
          <w:b/>
        </w:rPr>
        <w:t xml:space="preserve">Воздействие. </w:t>
      </w:r>
      <w:r>
        <w:t>Сравнить bit/nat; вычесть USD из nat; ordinal rank принять за денежную полезность; пропустить failed draws; запросить отсутствующий сильный mode</w:t>
      </w:r>
    </w:p>
    <w:p>
      <w:pPr>
        <w:keepNext w:val="0"/>
        <w:keepLines/>
      </w:pPr>
      <w:r>
        <w:rPr>
          <w:b/>
        </w:rPr>
        <w:t xml:space="preserve">Что требуется наблюдать. </w:t>
      </w:r>
      <w:r>
        <w:t>Same-target log-base conversion сохраняет смысл; cross-unit арифметика отказывает; bounded ordinal честно unassessed; stronger mode не подменяется и N9 blocked policy неизменна</w:t>
      </w:r>
    </w:p>
    <w:p>
      <w:pPr/>
      <w:r>
        <w:t>Для всех persistence specs недостаточно marker equality. Нужен adversarial control: убрать реальное проверяемое действие, оставив marker. Проверка должна перестать удовлетворять contract. При многопроцессной гонке нужны как минимум два реальных конкурирующих локальных процесса в заявленном profile; serialized mock не доказывает interprocess owner boundary.</w:t>
      </w:r>
    </w:p>
    <w:p>
      <w:pPr>
        <w:pStyle w:val="Heading1"/>
      </w:pPr>
      <w:bookmarkStart w:id="59" w:name="section_13"/>
      <w:r>
        <w:t>13 Полнота покрытия исходной очереди</w:t>
      </w:r>
      <w:bookmarkEnd w:id="59"/>
    </w:p>
    <w:p>
      <w:pPr>
        <w:pStyle w:val="Heading2"/>
      </w:pPr>
      <w:r>
        <w:t>13.1 Двадцать пять исторических аналитических семейств</w:t>
      </w:r>
    </w:p>
    <w:p>
      <w:pPr/>
      <w:r>
        <w:t>Эти семейства — навигатор прежнего обзора, а не 25 независимых действующих principal decisions. Общие решения сведены один раз; overlaps сохраняют source IDs. Текущий census уточняет состояние, а не автоматически принимает рекомендации.</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53"/>
        <w:gridCol w:w="2059"/>
        <w:gridCol w:w="4766"/>
      </w:tblGrid>
      <w:tr>
        <w:trPr>
          <w:cantSplit/>
          <w:tblHeader/>
        </w:trPr>
        <w:tc>
          <w:tcPr>
            <w:tcW w:type="dxa" w:w="3053"/>
            <w:vAlign w:val="center"/>
            <w:tcMar>
              <w:top w:w="95" w:type="dxa"/>
              <w:bottom w:w="95" w:type="dxa"/>
              <w:left w:w="100" w:type="dxa"/>
              <w:right w:w="100" w:type="dxa"/>
            </w:tcMar>
            <w:shd w:fill="E5EDF1"/>
          </w:tcPr>
          <w:p>
            <w:pPr>
              <w:pStyle w:val="TableBody"/>
              <w:keepNext/>
            </w:pPr>
            <w:r>
              <w:rPr>
                <w:b/>
                <w:color w:val="000000"/>
              </w:rPr>
              <w:t>Семейство</w:t>
            </w:r>
          </w:p>
        </w:tc>
        <w:tc>
          <w:tcPr>
            <w:tcW w:type="dxa" w:w="2059"/>
            <w:vAlign w:val="center"/>
            <w:tcMar>
              <w:top w:w="95" w:type="dxa"/>
              <w:bottom w:w="95" w:type="dxa"/>
              <w:left w:w="100" w:type="dxa"/>
              <w:right w:w="100" w:type="dxa"/>
            </w:tcMar>
            <w:shd w:fill="E5EDF1"/>
          </w:tcPr>
          <w:p>
            <w:pPr>
              <w:pStyle w:val="TableBody"/>
              <w:keepNext/>
            </w:pPr>
            <w:r>
              <w:rPr>
                <w:b/>
                <w:color w:val="000000"/>
              </w:rPr>
              <w:t>Рекомендации</w:t>
            </w:r>
          </w:p>
        </w:tc>
        <w:tc>
          <w:tcPr>
            <w:tcW w:type="dxa" w:w="4766"/>
            <w:vAlign w:val="center"/>
            <w:tcMar>
              <w:top w:w="95" w:type="dxa"/>
              <w:bottom w:w="95" w:type="dxa"/>
              <w:left w:w="100" w:type="dxa"/>
              <w:right w:w="100" w:type="dxa"/>
            </w:tcMar>
            <w:shd w:fill="E5EDF1"/>
          </w:tcPr>
          <w:p>
            <w:pPr>
              <w:pStyle w:val="TableBody"/>
              <w:keepNext/>
            </w:pPr>
            <w:r>
              <w:rPr>
                <w:b/>
                <w:color w:val="000000"/>
              </w:rPr>
              <w:t>Итоговая disposition</w:t>
            </w:r>
          </w:p>
        </w:tc>
      </w:tr>
      <w:tr>
        <w:trPr>
          <w:cantSplit/>
        </w:trPr>
        <w:tc>
          <w:tcPr>
            <w:tcW w:type="dxa" w:w="3053"/>
            <w:vAlign w:val="center"/>
            <w:tcMar>
              <w:top w:w="95" w:type="dxa"/>
              <w:bottom w:w="95" w:type="dxa"/>
              <w:left w:w="100" w:type="dxa"/>
              <w:right w:w="100" w:type="dxa"/>
            </w:tcMar>
            <w:shd w:fill="FFFFFF"/>
          </w:tcPr>
          <w:p>
            <w:pPr>
              <w:pStyle w:val="TableBody"/>
            </w:pPr>
            <w:r>
              <w:t>r1_source_temporal</w:t>
            </w:r>
          </w:p>
        </w:tc>
        <w:tc>
          <w:tcPr>
            <w:tcW w:type="dxa" w:w="2059"/>
            <w:vAlign w:val="center"/>
            <w:tcMar>
              <w:top w:w="95" w:type="dxa"/>
              <w:bottom w:w="95" w:type="dxa"/>
              <w:left w:w="100" w:type="dxa"/>
              <w:right w:w="100" w:type="dxa"/>
            </w:tcMar>
            <w:shd w:fill="FFFFFF"/>
          </w:tcPr>
          <w:p>
            <w:pPr>
              <w:pStyle w:val="TableBody"/>
            </w:pPr>
            <w:r>
              <w:t>E02-ARCH-16,20</w:t>
            </w:r>
          </w:p>
        </w:tc>
        <w:tc>
          <w:tcPr>
            <w:tcW w:type="dxa" w:w="4766"/>
            <w:vAlign w:val="center"/>
            <w:tcMar>
              <w:top w:w="95" w:type="dxa"/>
              <w:bottom w:w="95" w:type="dxa"/>
              <w:left w:w="100" w:type="dxa"/>
              <w:right w:w="100" w:type="dxa"/>
            </w:tcMar>
            <w:shd w:fill="FFFFFF"/>
          </w:tcPr>
          <w:p>
            <w:pPr>
              <w:pStyle w:val="TableBody"/>
            </w:pPr>
            <w:r>
              <w:t>Source-supported time/vintage и actual selection; missing evidence остаётся по каждому input</w:t>
            </w:r>
          </w:p>
        </w:tc>
      </w:tr>
      <w:tr>
        <w:trPr>
          <w:cantSplit/>
        </w:trPr>
        <w:tc>
          <w:tcPr>
            <w:tcW w:type="dxa" w:w="3053"/>
            <w:vAlign w:val="center"/>
            <w:tcMar>
              <w:top w:w="95" w:type="dxa"/>
              <w:bottom w:w="95" w:type="dxa"/>
              <w:left w:w="100" w:type="dxa"/>
              <w:right w:w="100" w:type="dxa"/>
            </w:tcMar>
            <w:shd w:fill="F4F6F7"/>
          </w:tcPr>
          <w:p>
            <w:pPr>
              <w:pStyle w:val="TableBody"/>
            </w:pPr>
            <w:r>
              <w:t>r1_numeric_action</w:t>
            </w:r>
          </w:p>
        </w:tc>
        <w:tc>
          <w:tcPr>
            <w:tcW w:type="dxa" w:w="2059"/>
            <w:vAlign w:val="center"/>
            <w:tcMar>
              <w:top w:w="95" w:type="dxa"/>
              <w:bottom w:w="95" w:type="dxa"/>
              <w:left w:w="100" w:type="dxa"/>
              <w:right w:w="100" w:type="dxa"/>
            </w:tcMar>
            <w:shd w:fill="F4F6F7"/>
          </w:tcPr>
          <w:p>
            <w:pPr>
              <w:pStyle w:val="TableBody"/>
            </w:pPr>
            <w:r>
              <w:t>E02-ARCH-17</w:t>
            </w:r>
          </w:p>
        </w:tc>
        <w:tc>
          <w:tcPr>
            <w:tcW w:type="dxa" w:w="4766"/>
            <w:vAlign w:val="center"/>
            <w:tcMar>
              <w:top w:w="95" w:type="dxa"/>
              <w:bottom w:w="95" w:type="dxa"/>
              <w:left w:w="100" w:type="dxa"/>
              <w:right w:w="100" w:type="dxa"/>
            </w:tcMar>
            <w:shd w:fill="F4F6F7"/>
          </w:tcPr>
          <w:p>
            <w:pPr>
              <w:pStyle w:val="TableBody"/>
            </w:pPr>
            <w:r>
              <w:t>Минимальные typed operators и engine acknowledgement</w:t>
            </w:r>
          </w:p>
        </w:tc>
      </w:tr>
      <w:tr>
        <w:trPr>
          <w:cantSplit/>
        </w:trPr>
        <w:tc>
          <w:tcPr>
            <w:tcW w:type="dxa" w:w="3053"/>
            <w:vAlign w:val="center"/>
            <w:tcMar>
              <w:top w:w="95" w:type="dxa"/>
              <w:bottom w:w="95" w:type="dxa"/>
              <w:left w:w="100" w:type="dxa"/>
              <w:right w:w="100" w:type="dxa"/>
            </w:tcMar>
            <w:shd w:fill="FFFFFF"/>
          </w:tcPr>
          <w:p>
            <w:pPr>
              <w:pStyle w:val="TableBody"/>
            </w:pPr>
            <w:r>
              <w:t>l2_vintage</w:t>
            </w:r>
          </w:p>
        </w:tc>
        <w:tc>
          <w:tcPr>
            <w:tcW w:type="dxa" w:w="2059"/>
            <w:vAlign w:val="center"/>
            <w:tcMar>
              <w:top w:w="95" w:type="dxa"/>
              <w:bottom w:w="95" w:type="dxa"/>
              <w:left w:w="100" w:type="dxa"/>
              <w:right w:w="100" w:type="dxa"/>
            </w:tcMar>
            <w:shd w:fill="FFFFFF"/>
          </w:tcPr>
          <w:p>
            <w:pPr>
              <w:pStyle w:val="TableBody"/>
            </w:pPr>
            <w:r>
              <w:t>E02-ARCH-19</w:t>
            </w:r>
          </w:p>
        </w:tc>
        <w:tc>
          <w:tcPr>
            <w:tcW w:type="dxa" w:w="4766"/>
            <w:vAlign w:val="center"/>
            <w:tcMar>
              <w:top w:w="95" w:type="dxa"/>
              <w:bottom w:w="95" w:type="dxa"/>
              <w:left w:w="100" w:type="dxa"/>
              <w:right w:w="100" w:type="dxa"/>
            </w:tcMar>
            <w:shd w:fill="FFFFFF"/>
          </w:tcPr>
          <w:p>
            <w:pPr>
              <w:pStyle w:val="TableBody"/>
            </w:pPr>
            <w:r>
              <w:t>Restricted candidate projection; новый occurrence только для нужного confidence</w:t>
            </w:r>
          </w:p>
        </w:tc>
      </w:tr>
      <w:tr>
        <w:trPr>
          <w:cantSplit/>
        </w:trPr>
        <w:tc>
          <w:tcPr>
            <w:tcW w:type="dxa" w:w="3053"/>
            <w:vAlign w:val="center"/>
            <w:tcMar>
              <w:top w:w="95" w:type="dxa"/>
              <w:bottom w:w="95" w:type="dxa"/>
              <w:left w:w="100" w:type="dxa"/>
              <w:right w:w="100" w:type="dxa"/>
            </w:tcMar>
            <w:shd w:fill="F4F6F7"/>
          </w:tcPr>
          <w:p>
            <w:pPr>
              <w:pStyle w:val="TableBody"/>
            </w:pPr>
            <w:r>
              <w:t>r1_basis_context</w:t>
            </w:r>
          </w:p>
        </w:tc>
        <w:tc>
          <w:tcPr>
            <w:tcW w:type="dxa" w:w="2059"/>
            <w:vAlign w:val="center"/>
            <w:tcMar>
              <w:top w:w="95" w:type="dxa"/>
              <w:bottom w:w="95" w:type="dxa"/>
              <w:left w:w="100" w:type="dxa"/>
              <w:right w:w="100" w:type="dxa"/>
            </w:tcMar>
            <w:shd w:fill="F4F6F7"/>
          </w:tcPr>
          <w:p>
            <w:pPr>
              <w:pStyle w:val="TableBody"/>
            </w:pPr>
            <w:r>
              <w:t>E02-ARCH-02,18</w:t>
            </w:r>
          </w:p>
        </w:tc>
        <w:tc>
          <w:tcPr>
            <w:tcW w:type="dxa" w:w="4766"/>
            <w:vAlign w:val="center"/>
            <w:tcMar>
              <w:top w:w="95" w:type="dxa"/>
              <w:bottom w:w="95" w:type="dxa"/>
              <w:left w:w="100" w:type="dxa"/>
              <w:right w:w="100" w:type="dxa"/>
            </w:tcMar>
            <w:shd w:fill="F4F6F7"/>
          </w:tcPr>
          <w:p>
            <w:pPr>
              <w:pStyle w:val="TableBody"/>
            </w:pPr>
            <w:r>
              <w:t>Stable subject, новый scientific basis, fresh per-basis context и отдельный EvalSafety</w:t>
            </w:r>
          </w:p>
        </w:tc>
      </w:tr>
      <w:tr>
        <w:trPr>
          <w:cantSplit/>
        </w:trPr>
        <w:tc>
          <w:tcPr>
            <w:tcW w:type="dxa" w:w="3053"/>
            <w:vAlign w:val="center"/>
            <w:tcMar>
              <w:top w:w="95" w:type="dxa"/>
              <w:bottom w:w="95" w:type="dxa"/>
              <w:left w:w="100" w:type="dxa"/>
              <w:right w:w="100" w:type="dxa"/>
            </w:tcMar>
            <w:shd w:fill="FFFFFF"/>
          </w:tcPr>
          <w:p>
            <w:pPr>
              <w:pStyle w:val="TableBody"/>
            </w:pPr>
            <w:r>
              <w:t>worker_scope</w:t>
            </w:r>
          </w:p>
        </w:tc>
        <w:tc>
          <w:tcPr>
            <w:tcW w:type="dxa" w:w="2059"/>
            <w:vAlign w:val="center"/>
            <w:tcMar>
              <w:top w:w="95" w:type="dxa"/>
              <w:bottom w:w="95" w:type="dxa"/>
              <w:left w:w="100" w:type="dxa"/>
              <w:right w:w="100" w:type="dxa"/>
            </w:tcMar>
            <w:shd w:fill="FFFFFF"/>
          </w:tcPr>
          <w:p>
            <w:pPr>
              <w:pStyle w:val="TableBody"/>
            </w:pPr>
            <w:r>
              <w:t>E02-ARCH-10</w:t>
            </w:r>
          </w:p>
        </w:tc>
        <w:tc>
          <w:tcPr>
            <w:tcW w:type="dxa" w:w="4766"/>
            <w:vAlign w:val="center"/>
            <w:tcMar>
              <w:top w:w="95" w:type="dxa"/>
              <w:bottom w:w="95" w:type="dxa"/>
              <w:left w:w="100" w:type="dxa"/>
              <w:right w:w="100" w:type="dxa"/>
            </w:tcMar>
            <w:shd w:fill="FFFFFF"/>
          </w:tcPr>
          <w:p>
            <w:pPr>
              <w:pStyle w:val="TableBody"/>
            </w:pPr>
            <w:r>
              <w:t>Current operation grant, attempt/fence/restart, без старого completed lease</w:t>
            </w:r>
          </w:p>
        </w:tc>
      </w:tr>
      <w:tr>
        <w:trPr>
          <w:cantSplit/>
        </w:trPr>
        <w:tc>
          <w:tcPr>
            <w:tcW w:type="dxa" w:w="3053"/>
            <w:vAlign w:val="center"/>
            <w:tcMar>
              <w:top w:w="95" w:type="dxa"/>
              <w:bottom w:w="95" w:type="dxa"/>
              <w:left w:w="100" w:type="dxa"/>
              <w:right w:w="100" w:type="dxa"/>
            </w:tcMar>
            <w:shd w:fill="F4F6F7"/>
          </w:tcPr>
          <w:p>
            <w:pPr>
              <w:pStyle w:val="TableBody"/>
            </w:pPr>
            <w:r>
              <w:t>r2_currentness</w:t>
            </w:r>
          </w:p>
        </w:tc>
        <w:tc>
          <w:tcPr>
            <w:tcW w:type="dxa" w:w="2059"/>
            <w:vAlign w:val="center"/>
            <w:tcMar>
              <w:top w:w="95" w:type="dxa"/>
              <w:bottom w:w="95" w:type="dxa"/>
              <w:left w:w="100" w:type="dxa"/>
              <w:right w:w="100" w:type="dxa"/>
            </w:tcMar>
            <w:shd w:fill="F4F6F7"/>
          </w:tcPr>
          <w:p>
            <w:pPr>
              <w:pStyle w:val="TableBody"/>
            </w:pPr>
            <w:r>
              <w:t>E02-ARCH-04,05</w:t>
            </w:r>
          </w:p>
        </w:tc>
        <w:tc>
          <w:tcPr>
            <w:tcW w:type="dxa" w:w="4766"/>
            <w:vAlign w:val="center"/>
            <w:tcMar>
              <w:top w:w="95" w:type="dxa"/>
              <w:bottom w:w="95" w:type="dxa"/>
              <w:left w:w="100" w:type="dxa"/>
              <w:right w:w="100" w:type="dxa"/>
            </w:tcMar>
            <w:shd w:fill="F4F6F7"/>
          </w:tcPr>
          <w:p>
            <w:pPr>
              <w:pStyle w:val="TableBody"/>
            </w:pPr>
            <w:r>
              <w:t>Loaded deployment evidence и реальные issuer отдельно; current local-as-of</w:t>
            </w:r>
          </w:p>
        </w:tc>
      </w:tr>
      <w:tr>
        <w:trPr>
          <w:cantSplit/>
        </w:trPr>
        <w:tc>
          <w:tcPr>
            <w:tcW w:type="dxa" w:w="3053"/>
            <w:vAlign w:val="center"/>
            <w:tcMar>
              <w:top w:w="95" w:type="dxa"/>
              <w:bottom w:w="95" w:type="dxa"/>
              <w:left w:w="100" w:type="dxa"/>
              <w:right w:w="100" w:type="dxa"/>
            </w:tcMar>
            <w:shd w:fill="FFFFFF"/>
          </w:tcPr>
          <w:p>
            <w:pPr>
              <w:pStyle w:val="TableBody"/>
            </w:pPr>
            <w:r>
              <w:t>history_rules</w:t>
            </w:r>
          </w:p>
        </w:tc>
        <w:tc>
          <w:tcPr>
            <w:tcW w:type="dxa" w:w="2059"/>
            <w:vAlign w:val="center"/>
            <w:tcMar>
              <w:top w:w="95" w:type="dxa"/>
              <w:bottom w:w="95" w:type="dxa"/>
              <w:left w:w="100" w:type="dxa"/>
              <w:right w:w="100" w:type="dxa"/>
            </w:tcMar>
            <w:shd w:fill="FFFFFF"/>
          </w:tcPr>
          <w:p>
            <w:pPr>
              <w:pStyle w:val="TableBody"/>
            </w:pPr>
            <w:r>
              <w:t>E02-ARCH-03</w:t>
            </w:r>
          </w:p>
        </w:tc>
        <w:tc>
          <w:tcPr>
            <w:tcW w:type="dxa" w:w="4766"/>
            <w:vAlign w:val="center"/>
            <w:tcMar>
              <w:top w:w="95" w:type="dxa"/>
              <w:bottom w:w="95" w:type="dxa"/>
              <w:left w:w="100" w:type="dxa"/>
              <w:right w:w="100" w:type="dxa"/>
            </w:tcMar>
            <w:shd w:fill="FFFFFF"/>
          </w:tcPr>
          <w:p>
            <w:pPr>
              <w:pStyle w:val="TableBody"/>
            </w:pPr>
            <w:r>
              <w:t>Frozen evaluator либо честная record-only history</w:t>
            </w:r>
          </w:p>
        </w:tc>
      </w:tr>
      <w:tr>
        <w:trPr>
          <w:cantSplit/>
        </w:trPr>
        <w:tc>
          <w:tcPr>
            <w:tcW w:type="dxa" w:w="3053"/>
            <w:vAlign w:val="center"/>
            <w:tcMar>
              <w:top w:w="95" w:type="dxa"/>
              <w:bottom w:w="95" w:type="dxa"/>
              <w:left w:w="100" w:type="dxa"/>
              <w:right w:w="100" w:type="dxa"/>
            </w:tcMar>
            <w:shd w:fill="F4F6F7"/>
          </w:tcPr>
          <w:p>
            <w:pPr>
              <w:pStyle w:val="TableBody"/>
            </w:pPr>
            <w:r>
              <w:t>n11_lifetime</w:t>
            </w:r>
          </w:p>
        </w:tc>
        <w:tc>
          <w:tcPr>
            <w:tcW w:type="dxa" w:w="2059"/>
            <w:vAlign w:val="center"/>
            <w:tcMar>
              <w:top w:w="95" w:type="dxa"/>
              <w:bottom w:w="95" w:type="dxa"/>
              <w:left w:w="100" w:type="dxa"/>
              <w:right w:w="100" w:type="dxa"/>
            </w:tcMar>
            <w:shd w:fill="F4F6F7"/>
          </w:tcPr>
          <w:p>
            <w:pPr>
              <w:pStyle w:val="TableBody"/>
            </w:pPr>
            <w:r>
              <w:t>E02-ARCH-06,07</w:t>
            </w:r>
          </w:p>
        </w:tc>
        <w:tc>
          <w:tcPr>
            <w:tcW w:type="dxa" w:w="4766"/>
            <w:vAlign w:val="center"/>
            <w:tcMar>
              <w:top w:w="95" w:type="dxa"/>
              <w:bottom w:w="95" w:type="dxa"/>
              <w:left w:w="100" w:type="dxa"/>
              <w:right w:w="100" w:type="dxa"/>
            </w:tcMar>
            <w:shd w:fill="F4F6F7"/>
          </w:tcPr>
          <w:p>
            <w:pPr>
              <w:pStyle w:val="TableBody"/>
            </w:pPr>
            <w:r>
              <w:t>Continuing family accounting; закрываемые experiments не бессрочные accounts</w:t>
            </w:r>
          </w:p>
        </w:tc>
      </w:tr>
      <w:tr>
        <w:trPr>
          <w:cantSplit/>
        </w:trPr>
        <w:tc>
          <w:tcPr>
            <w:tcW w:type="dxa" w:w="3053"/>
            <w:vAlign w:val="center"/>
            <w:tcMar>
              <w:top w:w="95" w:type="dxa"/>
              <w:bottom w:w="95" w:type="dxa"/>
              <w:left w:w="100" w:type="dxa"/>
              <w:right w:w="100" w:type="dxa"/>
            </w:tcMar>
            <w:shd w:fill="FFFFFF"/>
          </w:tcPr>
          <w:p>
            <w:pPr>
              <w:pStyle w:val="TableBody"/>
            </w:pPr>
            <w:r>
              <w:t>n11_tenant_scope</w:t>
            </w:r>
          </w:p>
        </w:tc>
        <w:tc>
          <w:tcPr>
            <w:tcW w:type="dxa" w:w="2059"/>
            <w:vAlign w:val="center"/>
            <w:tcMar>
              <w:top w:w="95" w:type="dxa"/>
              <w:bottom w:w="95" w:type="dxa"/>
              <w:left w:w="100" w:type="dxa"/>
              <w:right w:w="100" w:type="dxa"/>
            </w:tcMar>
            <w:shd w:fill="FFFFFF"/>
          </w:tcPr>
          <w:p>
            <w:pPr>
              <w:pStyle w:val="TableBody"/>
            </w:pPr>
            <w:r>
              <w:t>E02-ARCH-06,10</w:t>
            </w:r>
          </w:p>
        </w:tc>
        <w:tc>
          <w:tcPr>
            <w:tcW w:type="dxa" w:w="4766"/>
            <w:vAlign w:val="center"/>
            <w:tcMar>
              <w:top w:w="95" w:type="dxa"/>
              <w:bottom w:w="95" w:type="dxa"/>
              <w:left w:w="100" w:type="dxa"/>
              <w:right w:w="100" w:type="dxa"/>
            </w:tcMar>
            <w:shd w:fill="FFFFFF"/>
          </w:tcPr>
          <w:p>
            <w:pPr>
              <w:pStyle w:val="TableBody"/>
            </w:pPr>
            <w:r>
              <w:t>Custody отдельно от aggregate guarantee; cross-cell continuation пока unsupported</w:t>
            </w:r>
          </w:p>
        </w:tc>
      </w:tr>
      <w:tr>
        <w:trPr>
          <w:cantSplit/>
        </w:trPr>
        <w:tc>
          <w:tcPr>
            <w:tcW w:type="dxa" w:w="3053"/>
            <w:vAlign w:val="center"/>
            <w:tcMar>
              <w:top w:w="95" w:type="dxa"/>
              <w:bottom w:w="95" w:type="dxa"/>
              <w:left w:w="100" w:type="dxa"/>
              <w:right w:w="100" w:type="dxa"/>
            </w:tcMar>
            <w:shd w:fill="F4F6F7"/>
          </w:tcPr>
          <w:p>
            <w:pPr>
              <w:pStyle w:val="TableBody"/>
            </w:pPr>
            <w:r>
              <w:t>r9_views</w:t>
            </w:r>
          </w:p>
        </w:tc>
        <w:tc>
          <w:tcPr>
            <w:tcW w:type="dxa" w:w="2059"/>
            <w:vAlign w:val="center"/>
            <w:tcMar>
              <w:top w:w="95" w:type="dxa"/>
              <w:bottom w:w="95" w:type="dxa"/>
              <w:left w:w="100" w:type="dxa"/>
              <w:right w:w="100" w:type="dxa"/>
            </w:tcMar>
            <w:shd w:fill="F4F6F7"/>
          </w:tcPr>
          <w:p>
            <w:pPr>
              <w:pStyle w:val="TableBody"/>
            </w:pPr>
            <w:r>
              <w:t>E02-ARCH-02</w:t>
            </w:r>
          </w:p>
        </w:tc>
        <w:tc>
          <w:tcPr>
            <w:tcW w:type="dxa" w:w="4766"/>
            <w:vAlign w:val="center"/>
            <w:tcMar>
              <w:top w:w="95" w:type="dxa"/>
              <w:bottom w:w="95" w:type="dxa"/>
              <w:left w:w="100" w:type="dxa"/>
              <w:right w:w="100" w:type="dxa"/>
            </w:tcMar>
            <w:shd w:fill="F4F6F7"/>
          </w:tcPr>
          <w:p>
            <w:pPr>
              <w:pStyle w:val="TableBody"/>
            </w:pPr>
            <w:r>
              <w:t>Exact selected view, без current default inference</w:t>
            </w:r>
          </w:p>
        </w:tc>
      </w:tr>
      <w:tr>
        <w:trPr>
          <w:cantSplit/>
        </w:trPr>
        <w:tc>
          <w:tcPr>
            <w:tcW w:type="dxa" w:w="3053"/>
            <w:vAlign w:val="center"/>
            <w:tcMar>
              <w:top w:w="95" w:type="dxa"/>
              <w:bottom w:w="95" w:type="dxa"/>
              <w:left w:w="100" w:type="dxa"/>
              <w:right w:w="100" w:type="dxa"/>
            </w:tcMar>
            <w:shd w:fill="FFFFFF"/>
          </w:tcPr>
          <w:p>
            <w:pPr>
              <w:pStyle w:val="TableBody"/>
            </w:pPr>
            <w:r>
              <w:t>r9_publication_atomic</w:t>
            </w:r>
          </w:p>
        </w:tc>
        <w:tc>
          <w:tcPr>
            <w:tcW w:type="dxa" w:w="2059"/>
            <w:vAlign w:val="center"/>
            <w:tcMar>
              <w:top w:w="95" w:type="dxa"/>
              <w:bottom w:w="95" w:type="dxa"/>
              <w:left w:w="100" w:type="dxa"/>
              <w:right w:w="100" w:type="dxa"/>
            </w:tcMar>
            <w:shd w:fill="FFFFFF"/>
          </w:tcPr>
          <w:p>
            <w:pPr>
              <w:pStyle w:val="TableBody"/>
            </w:pPr>
            <w:r>
              <w:t>E02-ARCH-07,08</w:t>
            </w:r>
          </w:p>
        </w:tc>
        <w:tc>
          <w:tcPr>
            <w:tcW w:type="dxa" w:w="4766"/>
            <w:vAlign w:val="center"/>
            <w:tcMar>
              <w:top w:w="95" w:type="dxa"/>
              <w:bottom w:w="95" w:type="dxa"/>
              <w:left w:w="100" w:type="dxa"/>
              <w:right w:w="100" w:type="dxa"/>
            </w:tcMar>
            <w:shd w:fill="FFFFFF"/>
          </w:tcPr>
          <w:p>
            <w:pPr>
              <w:pStyle w:val="TableBody"/>
            </w:pPr>
            <w:r>
              <w:t>E/P/U и один домен только strict protected slice</w:t>
            </w:r>
          </w:p>
        </w:tc>
      </w:tr>
      <w:tr>
        <w:trPr>
          <w:cantSplit/>
        </w:trPr>
        <w:tc>
          <w:tcPr>
            <w:tcW w:type="dxa" w:w="3053"/>
            <w:vAlign w:val="center"/>
            <w:tcMar>
              <w:top w:w="95" w:type="dxa"/>
              <w:bottom w:w="95" w:type="dxa"/>
              <w:left w:w="100" w:type="dxa"/>
              <w:right w:w="100" w:type="dxa"/>
            </w:tcMar>
            <w:shd w:fill="F4F6F7"/>
          </w:tcPr>
          <w:p>
            <w:pPr>
              <w:pStyle w:val="TableBody"/>
            </w:pPr>
            <w:r>
              <w:t>r9_approval_v3</w:t>
            </w:r>
          </w:p>
        </w:tc>
        <w:tc>
          <w:tcPr>
            <w:tcW w:type="dxa" w:w="2059"/>
            <w:vAlign w:val="center"/>
            <w:tcMar>
              <w:top w:w="95" w:type="dxa"/>
              <w:bottom w:w="95" w:type="dxa"/>
              <w:left w:w="100" w:type="dxa"/>
              <w:right w:w="100" w:type="dxa"/>
            </w:tcMar>
            <w:shd w:fill="F4F6F7"/>
          </w:tcPr>
          <w:p>
            <w:pPr>
              <w:pStyle w:val="TableBody"/>
            </w:pPr>
            <w:r>
              <w:t>E02-ARCH-09</w:t>
            </w:r>
          </w:p>
        </w:tc>
        <w:tc>
          <w:tcPr>
            <w:tcW w:type="dxa" w:w="4766"/>
            <w:vAlign w:val="center"/>
            <w:tcMar>
              <w:top w:w="95" w:type="dxa"/>
              <w:bottom w:w="95" w:type="dxa"/>
              <w:left w:w="100" w:type="dxa"/>
              <w:right w:w="100" w:type="dxa"/>
            </w:tcMar>
            <w:shd w:fill="F4F6F7"/>
          </w:tcPr>
          <w:p>
            <w:pPr>
              <w:pStyle w:val="TableBody"/>
            </w:pPr>
            <w:r>
              <w:t>Scoped claims, acyclic packet binding; V2 refusal сохраняется</w:t>
            </w:r>
          </w:p>
        </w:tc>
      </w:tr>
      <w:tr>
        <w:trPr>
          <w:cantSplit/>
        </w:trPr>
        <w:tc>
          <w:tcPr>
            <w:tcW w:type="dxa" w:w="3053"/>
            <w:vAlign w:val="center"/>
            <w:tcMar>
              <w:top w:w="95" w:type="dxa"/>
              <w:bottom w:w="95" w:type="dxa"/>
              <w:left w:w="100" w:type="dxa"/>
              <w:right w:w="100" w:type="dxa"/>
            </w:tcMar>
            <w:shd w:fill="FFFFFF"/>
          </w:tcPr>
          <w:p>
            <w:pPr>
              <w:pStyle w:val="TableBody"/>
            </w:pPr>
            <w:r>
              <w:t>signed_store_backend</w:t>
            </w:r>
          </w:p>
        </w:tc>
        <w:tc>
          <w:tcPr>
            <w:tcW w:type="dxa" w:w="2059"/>
            <w:vAlign w:val="center"/>
            <w:tcMar>
              <w:top w:w="95" w:type="dxa"/>
              <w:bottom w:w="95" w:type="dxa"/>
              <w:left w:w="100" w:type="dxa"/>
              <w:right w:w="100" w:type="dxa"/>
            </w:tcMar>
            <w:shd w:fill="FFFFFF"/>
          </w:tcPr>
          <w:p>
            <w:pPr>
              <w:pStyle w:val="TableBody"/>
            </w:pPr>
            <w:r>
              <w:t>E02-ARCH-05</w:t>
            </w:r>
          </w:p>
        </w:tc>
        <w:tc>
          <w:tcPr>
            <w:tcW w:type="dxa" w:w="4766"/>
            <w:vAlign w:val="center"/>
            <w:tcMar>
              <w:top w:w="95" w:type="dxa"/>
              <w:bottom w:w="95" w:type="dxa"/>
              <w:left w:w="100" w:type="dxa"/>
              <w:right w:w="100" w:type="dxa"/>
            </w:tcMar>
            <w:shd w:fill="FFFFFF"/>
          </w:tcPr>
          <w:p>
            <w:pPr>
              <w:pStyle w:val="TableBody"/>
            </w:pPr>
            <w:r>
              <w:t>Optional verifier связан с exact store и admitted trust</w:t>
            </w:r>
          </w:p>
        </w:tc>
      </w:tr>
      <w:tr>
        <w:trPr>
          <w:cantSplit/>
        </w:trPr>
        <w:tc>
          <w:tcPr>
            <w:tcW w:type="dxa" w:w="3053"/>
            <w:vAlign w:val="center"/>
            <w:tcMar>
              <w:top w:w="95" w:type="dxa"/>
              <w:bottom w:w="95" w:type="dxa"/>
              <w:left w:w="100" w:type="dxa"/>
              <w:right w:w="100" w:type="dxa"/>
            </w:tcMar>
            <w:shd w:fill="F4F6F7"/>
          </w:tcPr>
          <w:p>
            <w:pPr>
              <w:pStyle w:val="TableBody"/>
            </w:pPr>
            <w:r>
              <w:t>r13_world_growth</w:t>
            </w:r>
          </w:p>
        </w:tc>
        <w:tc>
          <w:tcPr>
            <w:tcW w:type="dxa" w:w="2059"/>
            <w:vAlign w:val="center"/>
            <w:tcMar>
              <w:top w:w="95" w:type="dxa"/>
              <w:bottom w:w="95" w:type="dxa"/>
              <w:left w:w="100" w:type="dxa"/>
              <w:right w:w="100" w:type="dxa"/>
            </w:tcMar>
            <w:shd w:fill="F4F6F7"/>
          </w:tcPr>
          <w:p>
            <w:pPr>
              <w:pStyle w:val="TableBody"/>
            </w:pPr>
            <w:r>
              <w:t>E02-ARCH-18</w:t>
            </w:r>
          </w:p>
        </w:tc>
        <w:tc>
          <w:tcPr>
            <w:tcW w:type="dxa" w:w="4766"/>
            <w:vAlign w:val="center"/>
            <w:tcMar>
              <w:top w:w="95" w:type="dxa"/>
              <w:bottom w:w="95" w:type="dxa"/>
              <w:left w:w="100" w:type="dxa"/>
              <w:right w:w="100" w:type="dxa"/>
            </w:tcMar>
            <w:shd w:fill="F4F6F7"/>
          </w:tcPr>
          <w:p>
            <w:pPr>
              <w:pStyle w:val="TableBody"/>
            </w:pPr>
            <w:r>
              <w:t>Acquisition admission→actual consumption→new basis, без promise of improvement</w:t>
            </w:r>
          </w:p>
        </w:tc>
      </w:tr>
      <w:tr>
        <w:trPr>
          <w:cantSplit/>
        </w:trPr>
        <w:tc>
          <w:tcPr>
            <w:tcW w:type="dxa" w:w="3053"/>
            <w:vAlign w:val="center"/>
            <w:tcMar>
              <w:top w:w="95" w:type="dxa"/>
              <w:bottom w:w="95" w:type="dxa"/>
              <w:left w:w="100" w:type="dxa"/>
              <w:right w:w="100" w:type="dxa"/>
            </w:tcMar>
            <w:shd w:fill="FFFFFF"/>
          </w:tcPr>
          <w:p>
            <w:pPr>
              <w:pStyle w:val="TableBody"/>
            </w:pPr>
            <w:r>
              <w:t>r13_graph_plan</w:t>
            </w:r>
          </w:p>
        </w:tc>
        <w:tc>
          <w:tcPr>
            <w:tcW w:type="dxa" w:w="2059"/>
            <w:vAlign w:val="center"/>
            <w:tcMar>
              <w:top w:w="95" w:type="dxa"/>
              <w:bottom w:w="95" w:type="dxa"/>
              <w:left w:w="100" w:type="dxa"/>
              <w:right w:w="100" w:type="dxa"/>
            </w:tcMar>
            <w:shd w:fill="FFFFFF"/>
          </w:tcPr>
          <w:p>
            <w:pPr>
              <w:pStyle w:val="TableBody"/>
            </w:pPr>
            <w:r>
              <w:t>E02-ARCH-18</w:t>
            </w:r>
          </w:p>
        </w:tc>
        <w:tc>
          <w:tcPr>
            <w:tcW w:type="dxa" w:w="4766"/>
            <w:vAlign w:val="center"/>
            <w:tcMar>
              <w:top w:w="95" w:type="dxa"/>
              <w:bottom w:w="95" w:type="dxa"/>
              <w:left w:w="100" w:type="dxa"/>
              <w:right w:w="100" w:type="dxa"/>
            </w:tcMar>
            <w:shd w:fill="FFFFFF"/>
          </w:tcPr>
          <w:p>
            <w:pPr>
              <w:pStyle w:val="TableBody"/>
            </w:pPr>
            <w:r>
              <w:t>World-model role/plan/order/horizon, отдельный invocation</w:t>
            </w:r>
          </w:p>
        </w:tc>
      </w:tr>
      <w:tr>
        <w:trPr>
          <w:cantSplit/>
        </w:trPr>
        <w:tc>
          <w:tcPr>
            <w:tcW w:type="dxa" w:w="3053"/>
            <w:vAlign w:val="center"/>
            <w:tcMar>
              <w:top w:w="95" w:type="dxa"/>
              <w:bottom w:w="95" w:type="dxa"/>
              <w:left w:w="100" w:type="dxa"/>
              <w:right w:w="100" w:type="dxa"/>
            </w:tcMar>
            <w:shd w:fill="F4F6F7"/>
          </w:tcPr>
          <w:p>
            <w:pPr>
              <w:pStyle w:val="TableBody"/>
            </w:pPr>
            <w:r>
              <w:t>source_semantic_identifiers</w:t>
            </w:r>
          </w:p>
        </w:tc>
        <w:tc>
          <w:tcPr>
            <w:tcW w:type="dxa" w:w="2059"/>
            <w:vAlign w:val="center"/>
            <w:tcMar>
              <w:top w:w="95" w:type="dxa"/>
              <w:bottom w:w="95" w:type="dxa"/>
              <w:left w:w="100" w:type="dxa"/>
              <w:right w:w="100" w:type="dxa"/>
            </w:tcMar>
            <w:shd w:fill="F4F6F7"/>
          </w:tcPr>
          <w:p>
            <w:pPr>
              <w:pStyle w:val="TableBody"/>
            </w:pPr>
            <w:r>
              <w:t>E02-ARCH-20</w:t>
            </w:r>
          </w:p>
        </w:tc>
        <w:tc>
          <w:tcPr>
            <w:tcW w:type="dxa" w:w="4766"/>
            <w:vAlign w:val="center"/>
            <w:tcMar>
              <w:top w:w="95" w:type="dxa"/>
              <w:bottom w:w="95" w:type="dxa"/>
              <w:left w:w="100" w:type="dxa"/>
              <w:right w:w="100" w:type="dxa"/>
            </w:tcMar>
            <w:shd w:fill="F4F6F7"/>
          </w:tcPr>
          <w:p>
            <w:pPr>
              <w:pStyle w:val="TableBody"/>
            </w:pPr>
            <w:r>
              <w:t>Geography/variable/quantity/vintage как четыре predicates</w:t>
            </w:r>
          </w:p>
        </w:tc>
      </w:tr>
      <w:tr>
        <w:trPr>
          <w:cantSplit/>
        </w:trPr>
        <w:tc>
          <w:tcPr>
            <w:tcW w:type="dxa" w:w="3053"/>
            <w:vAlign w:val="center"/>
            <w:tcMar>
              <w:top w:w="95" w:type="dxa"/>
              <w:bottom w:w="95" w:type="dxa"/>
              <w:left w:w="100" w:type="dxa"/>
              <w:right w:w="100" w:type="dxa"/>
            </w:tcMar>
            <w:shd w:fill="FFFFFF"/>
          </w:tcPr>
          <w:p>
            <w:pPr>
              <w:pStyle w:val="TableBody"/>
            </w:pPr>
            <w:r>
              <w:t>public_uncertainty</w:t>
            </w:r>
          </w:p>
        </w:tc>
        <w:tc>
          <w:tcPr>
            <w:tcW w:type="dxa" w:w="2059"/>
            <w:vAlign w:val="center"/>
            <w:tcMar>
              <w:top w:w="95" w:type="dxa"/>
              <w:bottom w:w="95" w:type="dxa"/>
              <w:left w:w="100" w:type="dxa"/>
              <w:right w:w="100" w:type="dxa"/>
            </w:tcMar>
            <w:shd w:fill="FFFFFF"/>
          </w:tcPr>
          <w:p>
            <w:pPr>
              <w:pStyle w:val="TableBody"/>
            </w:pPr>
            <w:r>
              <w:t>E02-ARCH-13,14</w:t>
            </w:r>
          </w:p>
        </w:tc>
        <w:tc>
          <w:tcPr>
            <w:tcW w:type="dxa" w:w="4766"/>
            <w:vAlign w:val="center"/>
            <w:tcMar>
              <w:top w:w="95" w:type="dxa"/>
              <w:bottom w:w="95" w:type="dxa"/>
              <w:left w:w="100" w:type="dxa"/>
              <w:right w:w="100" w:type="dxa"/>
            </w:tcMar>
            <w:shd w:fill="FFFFFF"/>
          </w:tcPr>
          <w:p>
            <w:pPr>
              <w:pStyle w:val="TableBody"/>
            </w:pPr>
            <w:r>
              <w:t>Identification/point/interval/joint law раздельно</w:t>
            </w:r>
          </w:p>
        </w:tc>
      </w:tr>
      <w:tr>
        <w:trPr>
          <w:cantSplit/>
        </w:trPr>
        <w:tc>
          <w:tcPr>
            <w:tcW w:type="dxa" w:w="3053"/>
            <w:vAlign w:val="center"/>
            <w:tcMar>
              <w:top w:w="95" w:type="dxa"/>
              <w:bottom w:w="95" w:type="dxa"/>
              <w:left w:w="100" w:type="dxa"/>
              <w:right w:w="100" w:type="dxa"/>
            </w:tcMar>
            <w:shd w:fill="F4F6F7"/>
          </w:tcPr>
          <w:p>
            <w:pPr>
              <w:pStyle w:val="TableBody"/>
            </w:pPr>
            <w:r>
              <w:t>public_abi</w:t>
            </w:r>
          </w:p>
        </w:tc>
        <w:tc>
          <w:tcPr>
            <w:tcW w:type="dxa" w:w="2059"/>
            <w:vAlign w:val="center"/>
            <w:tcMar>
              <w:top w:w="95" w:type="dxa"/>
              <w:bottom w:w="95" w:type="dxa"/>
              <w:left w:w="100" w:type="dxa"/>
              <w:right w:w="100" w:type="dxa"/>
            </w:tcMar>
            <w:shd w:fill="F4F6F7"/>
          </w:tcPr>
          <w:p>
            <w:pPr>
              <w:pStyle w:val="TableBody"/>
            </w:pPr>
            <w:r>
              <w:t>E02-ARCH-35</w:t>
            </w:r>
          </w:p>
        </w:tc>
        <w:tc>
          <w:tcPr>
            <w:tcW w:type="dxa" w:w="4766"/>
            <w:vAlign w:val="center"/>
            <w:tcMar>
              <w:top w:w="95" w:type="dxa"/>
              <w:bottom w:w="95" w:type="dxa"/>
              <w:left w:w="100" w:type="dxa"/>
              <w:right w:w="100" w:type="dxa"/>
            </w:tcMar>
            <w:shd w:fill="F4F6F7"/>
          </w:tcPr>
          <w:p>
            <w:pPr>
              <w:pStyle w:val="TableBody"/>
            </w:pPr>
            <w:r>
              <w:t>Узкая supported surface и однократный caller cutover</w:t>
            </w:r>
          </w:p>
        </w:tc>
      </w:tr>
      <w:tr>
        <w:trPr>
          <w:cantSplit/>
        </w:trPr>
        <w:tc>
          <w:tcPr>
            <w:tcW w:type="dxa" w:w="3053"/>
            <w:vAlign w:val="center"/>
            <w:tcMar>
              <w:top w:w="95" w:type="dxa"/>
              <w:bottom w:w="95" w:type="dxa"/>
              <w:left w:w="100" w:type="dxa"/>
              <w:right w:w="100" w:type="dxa"/>
            </w:tcMar>
            <w:shd w:fill="FFFFFF"/>
          </w:tcPr>
          <w:p>
            <w:pPr>
              <w:pStyle w:val="TableBody"/>
            </w:pPr>
            <w:r>
              <w:t>governed_reissue</w:t>
            </w:r>
          </w:p>
        </w:tc>
        <w:tc>
          <w:tcPr>
            <w:tcW w:type="dxa" w:w="2059"/>
            <w:vAlign w:val="center"/>
            <w:tcMar>
              <w:top w:w="95" w:type="dxa"/>
              <w:bottom w:w="95" w:type="dxa"/>
              <w:left w:w="100" w:type="dxa"/>
              <w:right w:w="100" w:type="dxa"/>
            </w:tcMar>
            <w:shd w:fill="FFFFFF"/>
          </w:tcPr>
          <w:p>
            <w:pPr>
              <w:pStyle w:val="TableBody"/>
            </w:pPr>
            <w:r>
              <w:t>E02-ARCH-22</w:t>
            </w:r>
          </w:p>
        </w:tc>
        <w:tc>
          <w:tcPr>
            <w:tcW w:type="dxa" w:w="4766"/>
            <w:vAlign w:val="center"/>
            <w:tcMar>
              <w:top w:w="95" w:type="dxa"/>
              <w:bottom w:w="95" w:type="dxa"/>
              <w:left w:w="100" w:type="dxa"/>
              <w:right w:w="100" w:type="dxa"/>
            </w:tcMar>
            <w:shd w:fill="FFFFFF"/>
          </w:tcPr>
          <w:p>
            <w:pPr>
              <w:pStyle w:val="TableBody"/>
            </w:pPr>
            <w:r>
              <w:t>Один current epoch, explicit authorization, frozen history</w:t>
            </w:r>
          </w:p>
        </w:tc>
      </w:tr>
      <w:tr>
        <w:trPr>
          <w:cantSplit/>
        </w:trPr>
        <w:tc>
          <w:tcPr>
            <w:tcW w:type="dxa" w:w="3053"/>
            <w:vAlign w:val="center"/>
            <w:tcMar>
              <w:top w:w="95" w:type="dxa"/>
              <w:bottom w:w="95" w:type="dxa"/>
              <w:left w:w="100" w:type="dxa"/>
              <w:right w:w="100" w:type="dxa"/>
            </w:tcMar>
            <w:shd w:fill="F4F6F7"/>
          </w:tcPr>
          <w:p>
            <w:pPr>
              <w:pStyle w:val="TableBody"/>
            </w:pPr>
            <w:r>
              <w:t>tenant_control_rows</w:t>
            </w:r>
          </w:p>
        </w:tc>
        <w:tc>
          <w:tcPr>
            <w:tcW w:type="dxa" w:w="2059"/>
            <w:vAlign w:val="center"/>
            <w:tcMar>
              <w:top w:w="95" w:type="dxa"/>
              <w:bottom w:w="95" w:type="dxa"/>
              <w:left w:w="100" w:type="dxa"/>
              <w:right w:w="100" w:type="dxa"/>
            </w:tcMar>
            <w:shd w:fill="F4F6F7"/>
          </w:tcPr>
          <w:p>
            <w:pPr>
              <w:pStyle w:val="TableBody"/>
            </w:pPr>
            <w:r>
              <w:t>E02-ARCH-11</w:t>
            </w:r>
          </w:p>
        </w:tc>
        <w:tc>
          <w:tcPr>
            <w:tcW w:type="dxa" w:w="4766"/>
            <w:vAlign w:val="center"/>
            <w:tcMar>
              <w:top w:w="95" w:type="dxa"/>
              <w:bottom w:w="95" w:type="dxa"/>
              <w:left w:w="100" w:type="dxa"/>
              <w:right w:w="100" w:type="dxa"/>
            </w:tcMar>
            <w:shd w:fill="F4F6F7"/>
          </w:tcPr>
          <w:p>
            <w:pPr>
              <w:pStyle w:val="TableBody"/>
            </w:pPr>
            <w:r>
              <w:t>Immutable creation owner и outward filter</w:t>
            </w:r>
          </w:p>
        </w:tc>
      </w:tr>
      <w:tr>
        <w:trPr>
          <w:cantSplit/>
        </w:trPr>
        <w:tc>
          <w:tcPr>
            <w:tcW w:type="dxa" w:w="3053"/>
            <w:vAlign w:val="center"/>
            <w:tcMar>
              <w:top w:w="95" w:type="dxa"/>
              <w:bottom w:w="95" w:type="dxa"/>
              <w:left w:w="100" w:type="dxa"/>
              <w:right w:w="100" w:type="dxa"/>
            </w:tcMar>
            <w:shd w:fill="FFFFFF"/>
          </w:tcPr>
          <w:p>
            <w:pPr>
              <w:pStyle w:val="TableBody"/>
            </w:pPr>
            <w:r>
              <w:t>finite_window</w:t>
            </w:r>
          </w:p>
        </w:tc>
        <w:tc>
          <w:tcPr>
            <w:tcW w:type="dxa" w:w="2059"/>
            <w:vAlign w:val="center"/>
            <w:tcMar>
              <w:top w:w="95" w:type="dxa"/>
              <w:bottom w:w="95" w:type="dxa"/>
              <w:left w:w="100" w:type="dxa"/>
              <w:right w:w="100" w:type="dxa"/>
            </w:tcMar>
            <w:shd w:fill="FFFFFF"/>
          </w:tcPr>
          <w:p>
            <w:pPr>
              <w:pStyle w:val="TableBody"/>
            </w:pPr>
            <w:r>
              <w:t>E02-ARCH-12</w:t>
            </w:r>
          </w:p>
        </w:tc>
        <w:tc>
          <w:tcPr>
            <w:tcW w:type="dxa" w:w="4766"/>
            <w:vAlign w:val="center"/>
            <w:tcMar>
              <w:top w:w="95" w:type="dxa"/>
              <w:bottom w:w="95" w:type="dxa"/>
              <w:left w:w="100" w:type="dxa"/>
              <w:right w:w="100" w:type="dxa"/>
            </w:tcMar>
            <w:shd w:fill="FFFFFF"/>
          </w:tcPr>
          <w:p>
            <w:pPr>
              <w:pStyle w:val="TableBody"/>
            </w:pPr>
            <w:r>
              <w:t>Owner snapshot/cut/completeness; row evidence отдельно</w:t>
            </w:r>
          </w:p>
        </w:tc>
      </w:tr>
      <w:tr>
        <w:trPr>
          <w:cantSplit/>
        </w:trPr>
        <w:tc>
          <w:tcPr>
            <w:tcW w:type="dxa" w:w="3053"/>
            <w:vAlign w:val="center"/>
            <w:tcMar>
              <w:top w:w="95" w:type="dxa"/>
              <w:bottom w:w="95" w:type="dxa"/>
              <w:left w:w="100" w:type="dxa"/>
              <w:right w:w="100" w:type="dxa"/>
            </w:tcMar>
            <w:shd w:fill="F4F6F7"/>
          </w:tcPr>
          <w:p>
            <w:pPr>
              <w:pStyle w:val="TableBody"/>
            </w:pPr>
            <w:r>
              <w:t>execution_envelopes</w:t>
            </w:r>
          </w:p>
        </w:tc>
        <w:tc>
          <w:tcPr>
            <w:tcW w:type="dxa" w:w="2059"/>
            <w:vAlign w:val="center"/>
            <w:tcMar>
              <w:top w:w="95" w:type="dxa"/>
              <w:bottom w:w="95" w:type="dxa"/>
              <w:left w:w="100" w:type="dxa"/>
              <w:right w:w="100" w:type="dxa"/>
            </w:tcMar>
            <w:shd w:fill="F4F6F7"/>
          </w:tcPr>
          <w:p>
            <w:pPr>
              <w:pStyle w:val="TableBody"/>
            </w:pPr>
            <w:r>
              <w:t>E02-ARCH-01,08,10</w:t>
            </w:r>
          </w:p>
        </w:tc>
        <w:tc>
          <w:tcPr>
            <w:tcW w:type="dxa" w:w="4766"/>
            <w:vAlign w:val="center"/>
            <w:tcMar>
              <w:top w:w="95" w:type="dxa"/>
              <w:bottom w:w="95" w:type="dxa"/>
              <w:left w:w="100" w:type="dxa"/>
              <w:right w:w="100" w:type="dxa"/>
            </w:tcMar>
            <w:shd w:fill="F4F6F7"/>
          </w:tcPr>
          <w:p>
            <w:pPr>
              <w:pStyle w:val="TableBody"/>
            </w:pPr>
            <w:r>
              <w:t>Local scope и конкретная failure/recovery модель</w:t>
            </w:r>
          </w:p>
        </w:tc>
      </w:tr>
      <w:tr>
        <w:trPr>
          <w:cantSplit/>
        </w:trPr>
        <w:tc>
          <w:tcPr>
            <w:tcW w:type="dxa" w:w="3053"/>
            <w:vAlign w:val="center"/>
            <w:tcMar>
              <w:top w:w="95" w:type="dxa"/>
              <w:bottom w:w="95" w:type="dxa"/>
              <w:left w:w="100" w:type="dxa"/>
              <w:right w:w="100" w:type="dxa"/>
            </w:tcMar>
            <w:shd w:fill="FFFFFF"/>
          </w:tcPr>
          <w:p>
            <w:pPr>
              <w:pStyle w:val="TableBody"/>
            </w:pPr>
            <w:r>
              <w:t>source_lineage_reuse</w:t>
            </w:r>
          </w:p>
        </w:tc>
        <w:tc>
          <w:tcPr>
            <w:tcW w:type="dxa" w:w="2059"/>
            <w:vAlign w:val="center"/>
            <w:tcMar>
              <w:top w:w="95" w:type="dxa"/>
              <w:bottom w:w="95" w:type="dxa"/>
              <w:left w:w="100" w:type="dxa"/>
              <w:right w:w="100" w:type="dxa"/>
            </w:tcMar>
            <w:shd w:fill="FFFFFF"/>
          </w:tcPr>
          <w:p>
            <w:pPr>
              <w:pStyle w:val="TableBody"/>
            </w:pPr>
            <w:r>
              <w:t>E02-ARCH-21</w:t>
            </w:r>
          </w:p>
        </w:tc>
        <w:tc>
          <w:tcPr>
            <w:tcW w:type="dxa" w:w="4766"/>
            <w:vAlign w:val="center"/>
            <w:tcMar>
              <w:top w:w="95" w:type="dxa"/>
              <w:bottom w:w="95" w:type="dxa"/>
              <w:left w:w="100" w:type="dxa"/>
              <w:right w:w="100" w:type="dxa"/>
            </w:tcMar>
            <w:shd w:fill="FFFFFF"/>
          </w:tcPr>
          <w:p>
            <w:pPr>
              <w:pStyle w:val="TableBody"/>
            </w:pPr>
            <w:r>
              <w:t>Actual bytes/presence/coherence до reuse; отдельные B61/LA031/LA032 остатки</w:t>
            </w:r>
          </w:p>
        </w:tc>
      </w:tr>
      <w:tr>
        <w:trPr>
          <w:cantSplit/>
        </w:trPr>
        <w:tc>
          <w:tcPr>
            <w:tcW w:type="dxa" w:w="3053"/>
            <w:vAlign w:val="center"/>
            <w:tcMar>
              <w:top w:w="95" w:type="dxa"/>
              <w:bottom w:w="95" w:type="dxa"/>
              <w:left w:w="100" w:type="dxa"/>
              <w:right w:w="100" w:type="dxa"/>
            </w:tcMar>
            <w:shd w:fill="F4F6F7"/>
          </w:tcPr>
          <w:p>
            <w:pPr>
              <w:pStyle w:val="TableBody"/>
            </w:pPr>
            <w:r>
              <w:t>calibration_producers</w:t>
            </w:r>
          </w:p>
        </w:tc>
        <w:tc>
          <w:tcPr>
            <w:tcW w:type="dxa" w:w="2059"/>
            <w:vAlign w:val="center"/>
            <w:tcMar>
              <w:top w:w="95" w:type="dxa"/>
              <w:bottom w:w="95" w:type="dxa"/>
              <w:left w:w="100" w:type="dxa"/>
              <w:right w:w="100" w:type="dxa"/>
            </w:tcMar>
            <w:shd w:fill="F4F6F7"/>
          </w:tcPr>
          <w:p>
            <w:pPr>
              <w:pStyle w:val="TableBody"/>
            </w:pPr>
            <w:r>
              <w:t>E02-ARCH-14,15</w:t>
            </w:r>
          </w:p>
        </w:tc>
        <w:tc>
          <w:tcPr>
            <w:tcW w:type="dxa" w:w="4766"/>
            <w:vAlign w:val="center"/>
            <w:tcMar>
              <w:top w:w="95" w:type="dxa"/>
              <w:bottom w:w="95" w:type="dxa"/>
              <w:left w:w="100" w:type="dxa"/>
              <w:right w:w="100" w:type="dxa"/>
            </w:tcMar>
            <w:shd w:fill="F4F6F7"/>
          </w:tcPr>
          <w:p>
            <w:pPr>
              <w:pStyle w:val="TableBody"/>
            </w:pPr>
            <w:r>
              <w:t>Failure-aware evaluator, persisted report и exact typed consumer</w:t>
            </w:r>
          </w:p>
        </w:tc>
      </w:tr>
      <w:tr>
        <w:trPr>
          <w:cantSplit/>
        </w:trPr>
        <w:tc>
          <w:tcPr>
            <w:tcW w:type="dxa" w:w="3053"/>
            <w:vAlign w:val="center"/>
            <w:tcMar>
              <w:top w:w="95" w:type="dxa"/>
              <w:bottom w:w="95" w:type="dxa"/>
              <w:left w:w="100" w:type="dxa"/>
              <w:right w:w="100" w:type="dxa"/>
            </w:tcMar>
            <w:shd w:fill="FFFFFF"/>
          </w:tcPr>
          <w:p>
            <w:pPr>
              <w:pStyle w:val="TableBody"/>
            </w:pPr>
            <w:r>
              <w:t>measured_scaling</w:t>
            </w:r>
          </w:p>
        </w:tc>
        <w:tc>
          <w:tcPr>
            <w:tcW w:type="dxa" w:w="2059"/>
            <w:vAlign w:val="center"/>
            <w:tcMar>
              <w:top w:w="95" w:type="dxa"/>
              <w:bottom w:w="95" w:type="dxa"/>
              <w:left w:w="100" w:type="dxa"/>
              <w:right w:w="100" w:type="dxa"/>
            </w:tcMar>
            <w:shd w:fill="FFFFFF"/>
          </w:tcPr>
          <w:p>
            <w:pPr>
              <w:pStyle w:val="TableBody"/>
            </w:pPr>
            <w:r>
              <w:t>E02-ARCH-23</w:t>
            </w:r>
          </w:p>
        </w:tc>
        <w:tc>
          <w:tcPr>
            <w:tcW w:type="dxa" w:w="4766"/>
            <w:vAlign w:val="center"/>
            <w:tcMar>
              <w:top w:w="95" w:type="dxa"/>
              <w:bottom w:w="95" w:type="dxa"/>
              <w:left w:w="100" w:type="dxa"/>
              <w:right w:w="100" w:type="dxa"/>
            </w:tcMar>
            <w:shd w:fill="FFFFFF"/>
          </w:tcPr>
          <w:p>
            <w:pPr>
              <w:pStyle w:val="TableBody"/>
            </w:pPr>
            <w:r>
              <w:t>Cold oracle и полная стоимость до новой оптимизации</w:t>
            </w:r>
          </w:p>
        </w:tc>
      </w:tr>
    </w:tbl>
    <w:p>
      <w:pPr>
        <w:spacing w:after="0" w:before="0" w:line="80" w:lineRule="exact"/>
      </w:pPr>
      <w:r>
        <w:rPr>
          <w:sz w:val="8"/>
        </w:rPr>
      </w:r>
    </w:p>
    <w:p>
      <w:pPr>
        <w:pStyle w:val="Heading2"/>
      </w:pPr>
      <w:r>
        <w:t>13.2 Тринадцать P118 карточек и companion</w:t>
      </w:r>
    </w:p>
    <w:p>
      <w:pPr>
        <w:wordWrap w:val="0"/>
      </w:pPr>
      <w:r>
        <w:t xml:space="preserve">В </w:t>
      </w:r>
      <w:r>
        <w:rPr>
          <w:rFonts w:ascii="DejaVu Sans Mono" w:hAnsi="DejaVu Sans Mono"/>
          <w:sz w:val="19"/>
        </w:rPr>
        <w:t>P_DECISION_DRAFTS.md</w:t>
      </w:r>
      <w:r>
        <w:t xml:space="preserve"> все 13 карточек остаются </w:t>
      </w:r>
      <w:r>
        <w:rPr>
          <w:rFonts w:ascii="DejaVu Sans Mono" w:hAnsi="DejaVu Sans Mono"/>
          <w:sz w:val="19"/>
        </w:rPr>
        <w:t>awaiting_principal</w:t>
      </w:r>
      <w:r>
        <w:t>; частичные source repairs не меняют этот standing. Companion LA-055 — отдельный вопрос applicability, не четырнадцатая исходная bucket-b карточка.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59"/>
        <w:gridCol w:w="1224"/>
        <w:gridCol w:w="1829"/>
        <w:gridCol w:w="4766"/>
      </w:tblGrid>
      <w:tr>
        <w:trPr>
          <w:cantSplit/>
          <w:tblHeader/>
        </w:trPr>
        <w:tc>
          <w:tcPr>
            <w:tcW w:type="dxa" w:w="2059"/>
            <w:vAlign w:val="center"/>
            <w:tcMar>
              <w:top w:w="95" w:type="dxa"/>
              <w:bottom w:w="95" w:type="dxa"/>
              <w:left w:w="100" w:type="dxa"/>
              <w:right w:w="100" w:type="dxa"/>
            </w:tcMar>
            <w:shd w:fill="E5EDF1"/>
          </w:tcPr>
          <w:p>
            <w:pPr>
              <w:pStyle w:val="TableBody"/>
              <w:keepNext/>
            </w:pPr>
            <w:r>
              <w:rPr>
                <w:b/>
                <w:color w:val="000000"/>
              </w:rPr>
              <w:t>Source-qualified ID</w:t>
            </w:r>
          </w:p>
        </w:tc>
        <w:tc>
          <w:tcPr>
            <w:tcW w:type="dxa" w:w="1224"/>
            <w:vAlign w:val="center"/>
            <w:tcMar>
              <w:top w:w="95" w:type="dxa"/>
              <w:bottom w:w="95" w:type="dxa"/>
              <w:left w:w="100" w:type="dxa"/>
              <w:right w:w="100" w:type="dxa"/>
            </w:tcMar>
            <w:shd w:fill="E5EDF1"/>
          </w:tcPr>
          <w:p>
            <w:pPr>
              <w:pStyle w:val="TableBody"/>
              <w:keepNext/>
              <w:jc w:val="center"/>
            </w:pPr>
            <w:r>
              <w:rPr>
                <w:b/>
                <w:color w:val="000000"/>
              </w:rPr>
              <w:t>Строки source</w:t>
            </w:r>
          </w:p>
        </w:tc>
        <w:tc>
          <w:tcPr>
            <w:tcW w:type="dxa" w:w="1829"/>
            <w:vAlign w:val="center"/>
            <w:tcMar>
              <w:top w:w="95" w:type="dxa"/>
              <w:bottom w:w="95" w:type="dxa"/>
              <w:left w:w="100" w:type="dxa"/>
              <w:right w:w="100" w:type="dxa"/>
            </w:tcMar>
            <w:shd w:fill="E5EDF1"/>
          </w:tcPr>
          <w:p>
            <w:pPr>
              <w:pStyle w:val="TableBody"/>
              <w:keepNext/>
              <w:jc w:val="center"/>
            </w:pPr>
            <w:r>
              <w:rPr>
                <w:b/>
                <w:color w:val="000000"/>
              </w:rPr>
              <w:t>Рекомендация</w:t>
            </w:r>
          </w:p>
        </w:tc>
        <w:tc>
          <w:tcPr>
            <w:tcW w:type="dxa" w:w="4766"/>
            <w:vAlign w:val="center"/>
            <w:tcMar>
              <w:top w:w="95" w:type="dxa"/>
              <w:bottom w:w="95" w:type="dxa"/>
              <w:left w:w="100" w:type="dxa"/>
              <w:right w:w="100" w:type="dxa"/>
            </w:tcMar>
            <w:shd w:fill="E5EDF1"/>
          </w:tcPr>
          <w:p>
            <w:pPr>
              <w:pStyle w:val="TableBody"/>
              <w:keepNext/>
            </w:pPr>
            <w:r>
              <w:rPr>
                <w:b/>
                <w:color w:val="000000"/>
              </w:rPr>
              <w:t>Остаток за пределами изменения поля</w:t>
            </w:r>
          </w:p>
        </w:tc>
      </w:tr>
      <w:tr>
        <w:trPr>
          <w:cantSplit/>
        </w:trPr>
        <w:tc>
          <w:tcPr>
            <w:tcW w:type="dxa" w:w="2059"/>
            <w:vAlign w:val="center"/>
            <w:tcMar>
              <w:top w:w="95" w:type="dxa"/>
              <w:bottom w:w="95" w:type="dxa"/>
              <w:left w:w="100" w:type="dxa"/>
              <w:right w:w="100" w:type="dxa"/>
            </w:tcMar>
            <w:shd w:fill="FFFFFF"/>
          </w:tcPr>
          <w:p>
            <w:pPr>
              <w:pStyle w:val="TableBody"/>
            </w:pPr>
            <w:r>
              <w:t>P118 B122</w:t>
            </w:r>
          </w:p>
        </w:tc>
        <w:tc>
          <w:tcPr>
            <w:tcW w:type="dxa" w:w="1224"/>
            <w:vAlign w:val="center"/>
            <w:tcMar>
              <w:top w:w="95" w:type="dxa"/>
              <w:bottom w:w="95" w:type="dxa"/>
              <w:left w:w="100" w:type="dxa"/>
              <w:right w:w="100" w:type="dxa"/>
            </w:tcMar>
            <w:shd w:fill="FFFFFF"/>
          </w:tcPr>
          <w:p>
            <w:pPr>
              <w:pStyle w:val="TableBody"/>
              <w:jc w:val="center"/>
            </w:pPr>
            <w:r>
              <w:t>13–43</w:t>
            </w:r>
          </w:p>
        </w:tc>
        <w:tc>
          <w:tcPr>
            <w:tcW w:type="dxa" w:w="1829"/>
            <w:vAlign w:val="center"/>
            <w:tcMar>
              <w:top w:w="95" w:type="dxa"/>
              <w:bottom w:w="95" w:type="dxa"/>
              <w:left w:w="100" w:type="dxa"/>
              <w:right w:w="100" w:type="dxa"/>
            </w:tcMar>
            <w:shd w:fill="FFFFFF"/>
          </w:tcPr>
          <w:p>
            <w:pPr>
              <w:pStyle w:val="TableBody"/>
              <w:jc w:val="center"/>
            </w:pPr>
            <w:r>
              <w:t>E02-ARCH-24</w:t>
            </w:r>
          </w:p>
        </w:tc>
        <w:tc>
          <w:tcPr>
            <w:tcW w:type="dxa" w:w="4766"/>
            <w:vAlign w:val="center"/>
            <w:tcMar>
              <w:top w:w="95" w:type="dxa"/>
              <w:bottom w:w="95" w:type="dxa"/>
              <w:left w:w="100" w:type="dxa"/>
              <w:right w:w="100" w:type="dxa"/>
            </w:tcMar>
            <w:shd w:fill="FFFFFF"/>
          </w:tcPr>
          <w:p>
            <w:pPr>
              <w:pStyle w:val="TableBody"/>
            </w:pPr>
            <w:r>
              <w:t>Scientific stopping и quality budget</w:t>
            </w:r>
          </w:p>
        </w:tc>
      </w:tr>
      <w:tr>
        <w:trPr>
          <w:cantSplit/>
        </w:trPr>
        <w:tc>
          <w:tcPr>
            <w:tcW w:type="dxa" w:w="2059"/>
            <w:vAlign w:val="center"/>
            <w:tcMar>
              <w:top w:w="95" w:type="dxa"/>
              <w:bottom w:w="95" w:type="dxa"/>
              <w:left w:w="100" w:type="dxa"/>
              <w:right w:w="100" w:type="dxa"/>
            </w:tcMar>
            <w:shd w:fill="F4F6F7"/>
          </w:tcPr>
          <w:p>
            <w:pPr>
              <w:pStyle w:val="TableBody"/>
            </w:pPr>
            <w:r>
              <w:t>P118 B116</w:t>
            </w:r>
          </w:p>
        </w:tc>
        <w:tc>
          <w:tcPr>
            <w:tcW w:type="dxa" w:w="1224"/>
            <w:vAlign w:val="center"/>
            <w:tcMar>
              <w:top w:w="95" w:type="dxa"/>
              <w:bottom w:w="95" w:type="dxa"/>
              <w:left w:w="100" w:type="dxa"/>
              <w:right w:w="100" w:type="dxa"/>
            </w:tcMar>
            <w:shd w:fill="F4F6F7"/>
          </w:tcPr>
          <w:p>
            <w:pPr>
              <w:pStyle w:val="TableBody"/>
              <w:jc w:val="center"/>
            </w:pPr>
            <w:r>
              <w:t>44–74</w:t>
            </w:r>
          </w:p>
        </w:tc>
        <w:tc>
          <w:tcPr>
            <w:tcW w:type="dxa" w:w="1829"/>
            <w:vAlign w:val="center"/>
            <w:tcMar>
              <w:top w:w="95" w:type="dxa"/>
              <w:bottom w:w="95" w:type="dxa"/>
              <w:left w:w="100" w:type="dxa"/>
              <w:right w:w="100" w:type="dxa"/>
            </w:tcMar>
            <w:shd w:fill="F4F6F7"/>
          </w:tcPr>
          <w:p>
            <w:pPr>
              <w:pStyle w:val="TableBody"/>
              <w:jc w:val="center"/>
            </w:pPr>
            <w:r>
              <w:t>E02-ARCH-25</w:t>
            </w:r>
          </w:p>
        </w:tc>
        <w:tc>
          <w:tcPr>
            <w:tcW w:type="dxa" w:w="4766"/>
            <w:vAlign w:val="center"/>
            <w:tcMar>
              <w:top w:w="95" w:type="dxa"/>
              <w:bottom w:w="95" w:type="dxa"/>
              <w:left w:w="100" w:type="dxa"/>
              <w:right w:w="100" w:type="dxa"/>
            </w:tcMar>
            <w:shd w:fill="F4F6F7"/>
          </w:tcPr>
          <w:p>
            <w:pPr>
              <w:pStyle w:val="TableBody"/>
            </w:pPr>
            <w:r>
              <w:t>Owner-validated comparison design и selection validity</w:t>
            </w:r>
          </w:p>
        </w:tc>
      </w:tr>
      <w:tr>
        <w:trPr>
          <w:cantSplit/>
        </w:trPr>
        <w:tc>
          <w:tcPr>
            <w:tcW w:type="dxa" w:w="2059"/>
            <w:vAlign w:val="center"/>
            <w:tcMar>
              <w:top w:w="95" w:type="dxa"/>
              <w:bottom w:w="95" w:type="dxa"/>
              <w:left w:w="100" w:type="dxa"/>
              <w:right w:w="100" w:type="dxa"/>
            </w:tcMar>
            <w:shd w:fill="FFFFFF"/>
          </w:tcPr>
          <w:p>
            <w:pPr>
              <w:pStyle w:val="TableBody"/>
            </w:pPr>
            <w:r>
              <w:t>P118 B117</w:t>
            </w:r>
          </w:p>
        </w:tc>
        <w:tc>
          <w:tcPr>
            <w:tcW w:type="dxa" w:w="1224"/>
            <w:vAlign w:val="center"/>
            <w:tcMar>
              <w:top w:w="95" w:type="dxa"/>
              <w:bottom w:w="95" w:type="dxa"/>
              <w:left w:w="100" w:type="dxa"/>
              <w:right w:w="100" w:type="dxa"/>
            </w:tcMar>
            <w:shd w:fill="FFFFFF"/>
          </w:tcPr>
          <w:p>
            <w:pPr>
              <w:pStyle w:val="TableBody"/>
              <w:jc w:val="center"/>
            </w:pPr>
            <w:r>
              <w:t>75–107</w:t>
            </w:r>
          </w:p>
        </w:tc>
        <w:tc>
          <w:tcPr>
            <w:tcW w:type="dxa" w:w="1829"/>
            <w:vAlign w:val="center"/>
            <w:tcMar>
              <w:top w:w="95" w:type="dxa"/>
              <w:bottom w:w="95" w:type="dxa"/>
              <w:left w:w="100" w:type="dxa"/>
              <w:right w:w="100" w:type="dxa"/>
            </w:tcMar>
            <w:shd w:fill="FFFFFF"/>
          </w:tcPr>
          <w:p>
            <w:pPr>
              <w:pStyle w:val="TableBody"/>
              <w:jc w:val="center"/>
            </w:pPr>
            <w:r>
              <w:t>E02-ARCH-25</w:t>
            </w:r>
          </w:p>
        </w:tc>
        <w:tc>
          <w:tcPr>
            <w:tcW w:type="dxa" w:w="4766"/>
            <w:vAlign w:val="center"/>
            <w:tcMar>
              <w:top w:w="95" w:type="dxa"/>
              <w:bottom w:w="95" w:type="dxa"/>
              <w:left w:w="100" w:type="dxa"/>
              <w:right w:w="100" w:type="dxa"/>
            </w:tcMar>
            <w:shd w:fill="FFFFFF"/>
          </w:tcPr>
          <w:p>
            <w:pPr>
              <w:pStyle w:val="TableBody"/>
            </w:pPr>
            <w:r>
              <w:t>Полный publisher census выбранного scope и recovery</w:t>
            </w:r>
          </w:p>
        </w:tc>
      </w:tr>
      <w:tr>
        <w:trPr>
          <w:cantSplit/>
        </w:trPr>
        <w:tc>
          <w:tcPr>
            <w:tcW w:type="dxa" w:w="2059"/>
            <w:vAlign w:val="center"/>
            <w:tcMar>
              <w:top w:w="95" w:type="dxa"/>
              <w:bottom w:w="95" w:type="dxa"/>
              <w:left w:w="100" w:type="dxa"/>
              <w:right w:w="100" w:type="dxa"/>
            </w:tcMar>
            <w:shd w:fill="F4F6F7"/>
          </w:tcPr>
          <w:p>
            <w:pPr>
              <w:pStyle w:val="TableBody"/>
            </w:pPr>
            <w:r>
              <w:t>P118 B133</w:t>
            </w:r>
          </w:p>
        </w:tc>
        <w:tc>
          <w:tcPr>
            <w:tcW w:type="dxa" w:w="1224"/>
            <w:vAlign w:val="center"/>
            <w:tcMar>
              <w:top w:w="95" w:type="dxa"/>
              <w:bottom w:w="95" w:type="dxa"/>
              <w:left w:w="100" w:type="dxa"/>
              <w:right w:w="100" w:type="dxa"/>
            </w:tcMar>
            <w:shd w:fill="F4F6F7"/>
          </w:tcPr>
          <w:p>
            <w:pPr>
              <w:pStyle w:val="TableBody"/>
              <w:jc w:val="center"/>
            </w:pPr>
            <w:r>
              <w:t>108–140</w:t>
            </w:r>
          </w:p>
        </w:tc>
        <w:tc>
          <w:tcPr>
            <w:tcW w:type="dxa" w:w="1829"/>
            <w:vAlign w:val="center"/>
            <w:tcMar>
              <w:top w:w="95" w:type="dxa"/>
              <w:bottom w:w="95" w:type="dxa"/>
              <w:left w:w="100" w:type="dxa"/>
              <w:right w:w="100" w:type="dxa"/>
            </w:tcMar>
            <w:shd w:fill="F4F6F7"/>
          </w:tcPr>
          <w:p>
            <w:pPr>
              <w:pStyle w:val="TableBody"/>
              <w:jc w:val="center"/>
            </w:pPr>
            <w:r>
              <w:t>E02-ARCH-26</w:t>
            </w:r>
          </w:p>
        </w:tc>
        <w:tc>
          <w:tcPr>
            <w:tcW w:type="dxa" w:w="4766"/>
            <w:vAlign w:val="center"/>
            <w:tcMar>
              <w:top w:w="95" w:type="dxa"/>
              <w:bottom w:w="95" w:type="dxa"/>
              <w:left w:w="100" w:type="dxa"/>
              <w:right w:w="100" w:type="dxa"/>
            </w:tcMar>
            <w:shd w:fill="F4F6F7"/>
          </w:tcPr>
          <w:p>
            <w:pPr>
              <w:pStyle w:val="TableBody"/>
            </w:pPr>
            <w:r>
              <w:t>Retained rule/input availability</w:t>
            </w:r>
          </w:p>
        </w:tc>
      </w:tr>
      <w:tr>
        <w:trPr>
          <w:cantSplit/>
        </w:trPr>
        <w:tc>
          <w:tcPr>
            <w:tcW w:type="dxa" w:w="2059"/>
            <w:vAlign w:val="center"/>
            <w:tcMar>
              <w:top w:w="95" w:type="dxa"/>
              <w:bottom w:w="95" w:type="dxa"/>
              <w:left w:w="100" w:type="dxa"/>
              <w:right w:w="100" w:type="dxa"/>
            </w:tcMar>
            <w:shd w:fill="FFFFFF"/>
          </w:tcPr>
          <w:p>
            <w:pPr>
              <w:pStyle w:val="TableBody"/>
            </w:pPr>
            <w:r>
              <w:t>P118 B169</w:t>
            </w:r>
          </w:p>
        </w:tc>
        <w:tc>
          <w:tcPr>
            <w:tcW w:type="dxa" w:w="1224"/>
            <w:vAlign w:val="center"/>
            <w:tcMar>
              <w:top w:w="95" w:type="dxa"/>
              <w:bottom w:w="95" w:type="dxa"/>
              <w:left w:w="100" w:type="dxa"/>
              <w:right w:w="100" w:type="dxa"/>
            </w:tcMar>
            <w:shd w:fill="FFFFFF"/>
          </w:tcPr>
          <w:p>
            <w:pPr>
              <w:pStyle w:val="TableBody"/>
              <w:jc w:val="center"/>
            </w:pPr>
            <w:r>
              <w:t>141–171</w:t>
            </w:r>
          </w:p>
        </w:tc>
        <w:tc>
          <w:tcPr>
            <w:tcW w:type="dxa" w:w="1829"/>
            <w:vAlign w:val="center"/>
            <w:tcMar>
              <w:top w:w="95" w:type="dxa"/>
              <w:bottom w:w="95" w:type="dxa"/>
              <w:left w:w="100" w:type="dxa"/>
              <w:right w:w="100" w:type="dxa"/>
            </w:tcMar>
            <w:shd w:fill="FFFFFF"/>
          </w:tcPr>
          <w:p>
            <w:pPr>
              <w:pStyle w:val="TableBody"/>
              <w:jc w:val="center"/>
            </w:pPr>
            <w:r>
              <w:t>E02-ARCH-27</w:t>
            </w:r>
          </w:p>
        </w:tc>
        <w:tc>
          <w:tcPr>
            <w:tcW w:type="dxa" w:w="4766"/>
            <w:vAlign w:val="center"/>
            <w:tcMar>
              <w:top w:w="95" w:type="dxa"/>
              <w:bottom w:w="95" w:type="dxa"/>
              <w:left w:w="100" w:type="dxa"/>
              <w:right w:w="100" w:type="dxa"/>
            </w:tcMar>
            <w:shd w:fill="FFFFFF"/>
          </w:tcPr>
          <w:p>
            <w:pPr>
              <w:pStyle w:val="TableBody"/>
            </w:pPr>
            <w:r>
              <w:t>Actual source history и native forecast binding</w:t>
            </w:r>
          </w:p>
        </w:tc>
      </w:tr>
      <w:tr>
        <w:trPr>
          <w:cantSplit/>
        </w:trPr>
        <w:tc>
          <w:tcPr>
            <w:tcW w:type="dxa" w:w="2059"/>
            <w:vAlign w:val="center"/>
            <w:tcMar>
              <w:top w:w="95" w:type="dxa"/>
              <w:bottom w:w="95" w:type="dxa"/>
              <w:left w:w="100" w:type="dxa"/>
              <w:right w:w="100" w:type="dxa"/>
            </w:tcMar>
            <w:shd w:fill="F4F6F7"/>
          </w:tcPr>
          <w:p>
            <w:pPr>
              <w:pStyle w:val="TableBody"/>
            </w:pPr>
            <w:r>
              <w:t>P118 B170</w:t>
            </w:r>
          </w:p>
        </w:tc>
        <w:tc>
          <w:tcPr>
            <w:tcW w:type="dxa" w:w="1224"/>
            <w:vAlign w:val="center"/>
            <w:tcMar>
              <w:top w:w="95" w:type="dxa"/>
              <w:bottom w:w="95" w:type="dxa"/>
              <w:left w:w="100" w:type="dxa"/>
              <w:right w:w="100" w:type="dxa"/>
            </w:tcMar>
            <w:shd w:fill="F4F6F7"/>
          </w:tcPr>
          <w:p>
            <w:pPr>
              <w:pStyle w:val="TableBody"/>
              <w:jc w:val="center"/>
            </w:pPr>
            <w:r>
              <w:t>172–202</w:t>
            </w:r>
          </w:p>
        </w:tc>
        <w:tc>
          <w:tcPr>
            <w:tcW w:type="dxa" w:w="1829"/>
            <w:vAlign w:val="center"/>
            <w:tcMar>
              <w:top w:w="95" w:type="dxa"/>
              <w:bottom w:w="95" w:type="dxa"/>
              <w:left w:w="100" w:type="dxa"/>
              <w:right w:w="100" w:type="dxa"/>
            </w:tcMar>
            <w:shd w:fill="F4F6F7"/>
          </w:tcPr>
          <w:p>
            <w:pPr>
              <w:pStyle w:val="TableBody"/>
              <w:jc w:val="center"/>
            </w:pPr>
            <w:r>
              <w:t>E02-ARCH-28</w:t>
            </w:r>
          </w:p>
        </w:tc>
        <w:tc>
          <w:tcPr>
            <w:tcW w:type="dxa" w:w="4766"/>
            <w:vAlign w:val="center"/>
            <w:tcMar>
              <w:top w:w="95" w:type="dxa"/>
              <w:bottom w:w="95" w:type="dxa"/>
              <w:left w:w="100" w:type="dxa"/>
              <w:right w:w="100" w:type="dxa"/>
            </w:tcMar>
            <w:shd w:fill="F4F6F7"/>
          </w:tcPr>
          <w:p>
            <w:pPr>
              <w:pStyle w:val="TableBody"/>
            </w:pPr>
            <w:r>
              <w:t>Настоящий outer executor и статистический unit</w:t>
            </w:r>
          </w:p>
        </w:tc>
      </w:tr>
      <w:tr>
        <w:trPr>
          <w:cantSplit/>
        </w:trPr>
        <w:tc>
          <w:tcPr>
            <w:tcW w:type="dxa" w:w="2059"/>
            <w:vAlign w:val="center"/>
            <w:tcMar>
              <w:top w:w="95" w:type="dxa"/>
              <w:bottom w:w="95" w:type="dxa"/>
              <w:left w:w="100" w:type="dxa"/>
              <w:right w:w="100" w:type="dxa"/>
            </w:tcMar>
            <w:shd w:fill="FFFFFF"/>
          </w:tcPr>
          <w:p>
            <w:pPr>
              <w:pStyle w:val="TableBody"/>
            </w:pPr>
            <w:r>
              <w:t>P118 B171</w:t>
            </w:r>
          </w:p>
        </w:tc>
        <w:tc>
          <w:tcPr>
            <w:tcW w:type="dxa" w:w="1224"/>
            <w:vAlign w:val="center"/>
            <w:tcMar>
              <w:top w:w="95" w:type="dxa"/>
              <w:bottom w:w="95" w:type="dxa"/>
              <w:left w:w="100" w:type="dxa"/>
              <w:right w:w="100" w:type="dxa"/>
            </w:tcMar>
            <w:shd w:fill="FFFFFF"/>
          </w:tcPr>
          <w:p>
            <w:pPr>
              <w:pStyle w:val="TableBody"/>
              <w:jc w:val="center"/>
            </w:pPr>
            <w:r>
              <w:t>203–233</w:t>
            </w:r>
          </w:p>
        </w:tc>
        <w:tc>
          <w:tcPr>
            <w:tcW w:type="dxa" w:w="1829"/>
            <w:vAlign w:val="center"/>
            <w:tcMar>
              <w:top w:w="95" w:type="dxa"/>
              <w:bottom w:w="95" w:type="dxa"/>
              <w:left w:w="100" w:type="dxa"/>
              <w:right w:w="100" w:type="dxa"/>
            </w:tcMar>
            <w:shd w:fill="FFFFFF"/>
          </w:tcPr>
          <w:p>
            <w:pPr>
              <w:pStyle w:val="TableBody"/>
              <w:jc w:val="center"/>
            </w:pPr>
            <w:r>
              <w:t>E02-ARCH-29</w:t>
            </w:r>
          </w:p>
        </w:tc>
        <w:tc>
          <w:tcPr>
            <w:tcW w:type="dxa" w:w="4766"/>
            <w:vAlign w:val="center"/>
            <w:tcMar>
              <w:top w:w="95" w:type="dxa"/>
              <w:bottom w:w="95" w:type="dxa"/>
              <w:left w:w="100" w:type="dxa"/>
              <w:right w:w="100" w:type="dxa"/>
            </w:tcMar>
            <w:shd w:fill="FFFFFF"/>
          </w:tcPr>
          <w:p>
            <w:pPr>
              <w:pStyle w:val="TableBody"/>
            </w:pPr>
            <w:r>
              <w:t>Target/weighting policy и dependence</w:t>
            </w:r>
          </w:p>
        </w:tc>
      </w:tr>
      <w:tr>
        <w:trPr>
          <w:cantSplit/>
        </w:trPr>
        <w:tc>
          <w:tcPr>
            <w:tcW w:type="dxa" w:w="2059"/>
            <w:vAlign w:val="center"/>
            <w:tcMar>
              <w:top w:w="95" w:type="dxa"/>
              <w:bottom w:w="95" w:type="dxa"/>
              <w:left w:w="100" w:type="dxa"/>
              <w:right w:w="100" w:type="dxa"/>
            </w:tcMar>
            <w:shd w:fill="F4F6F7"/>
          </w:tcPr>
          <w:p>
            <w:pPr>
              <w:pStyle w:val="TableBody"/>
            </w:pPr>
            <w:r>
              <w:t>P118 LA-004</w:t>
            </w:r>
          </w:p>
        </w:tc>
        <w:tc>
          <w:tcPr>
            <w:tcW w:type="dxa" w:w="1224"/>
            <w:vAlign w:val="center"/>
            <w:tcMar>
              <w:top w:w="95" w:type="dxa"/>
              <w:bottom w:w="95" w:type="dxa"/>
              <w:left w:w="100" w:type="dxa"/>
              <w:right w:w="100" w:type="dxa"/>
            </w:tcMar>
            <w:shd w:fill="F4F6F7"/>
          </w:tcPr>
          <w:p>
            <w:pPr>
              <w:pStyle w:val="TableBody"/>
              <w:jc w:val="center"/>
            </w:pPr>
            <w:r>
              <w:t>234–264</w:t>
            </w:r>
          </w:p>
        </w:tc>
        <w:tc>
          <w:tcPr>
            <w:tcW w:type="dxa" w:w="1829"/>
            <w:vAlign w:val="center"/>
            <w:tcMar>
              <w:top w:w="95" w:type="dxa"/>
              <w:bottom w:w="95" w:type="dxa"/>
              <w:left w:w="100" w:type="dxa"/>
              <w:right w:w="100" w:type="dxa"/>
            </w:tcMar>
            <w:shd w:fill="F4F6F7"/>
          </w:tcPr>
          <w:p>
            <w:pPr>
              <w:pStyle w:val="TableBody"/>
              <w:jc w:val="center"/>
            </w:pPr>
            <w:r>
              <w:t>E02-ARCH-30</w:t>
            </w:r>
          </w:p>
        </w:tc>
        <w:tc>
          <w:tcPr>
            <w:tcW w:type="dxa" w:w="4766"/>
            <w:vAlign w:val="center"/>
            <w:tcMar>
              <w:top w:w="95" w:type="dxa"/>
              <w:bottom w:w="95" w:type="dxa"/>
              <w:left w:w="100" w:type="dxa"/>
              <w:right w:w="100" w:type="dxa"/>
            </w:tcMar>
            <w:shd w:fill="F4F6F7"/>
          </w:tcPr>
          <w:p>
            <w:pPr>
              <w:pStyle w:val="TableBody"/>
            </w:pPr>
            <w:r>
              <w:t>Доказанная model equivalence, если нужна</w:t>
            </w:r>
          </w:p>
        </w:tc>
      </w:tr>
      <w:tr>
        <w:trPr>
          <w:cantSplit/>
        </w:trPr>
        <w:tc>
          <w:tcPr>
            <w:tcW w:type="dxa" w:w="2059"/>
            <w:vAlign w:val="center"/>
            <w:tcMar>
              <w:top w:w="95" w:type="dxa"/>
              <w:bottom w:w="95" w:type="dxa"/>
              <w:left w:w="100" w:type="dxa"/>
              <w:right w:w="100" w:type="dxa"/>
            </w:tcMar>
            <w:shd w:fill="FFFFFF"/>
          </w:tcPr>
          <w:p>
            <w:pPr>
              <w:pStyle w:val="TableBody"/>
            </w:pPr>
            <w:r>
              <w:t>P118 LA-035</w:t>
            </w:r>
          </w:p>
        </w:tc>
        <w:tc>
          <w:tcPr>
            <w:tcW w:type="dxa" w:w="1224"/>
            <w:vAlign w:val="center"/>
            <w:tcMar>
              <w:top w:w="95" w:type="dxa"/>
              <w:bottom w:w="95" w:type="dxa"/>
              <w:left w:w="100" w:type="dxa"/>
              <w:right w:w="100" w:type="dxa"/>
            </w:tcMar>
            <w:shd w:fill="FFFFFF"/>
          </w:tcPr>
          <w:p>
            <w:pPr>
              <w:pStyle w:val="TableBody"/>
              <w:jc w:val="center"/>
            </w:pPr>
            <w:r>
              <w:t>265–295</w:t>
            </w:r>
          </w:p>
        </w:tc>
        <w:tc>
          <w:tcPr>
            <w:tcW w:type="dxa" w:w="1829"/>
            <w:vAlign w:val="center"/>
            <w:tcMar>
              <w:top w:w="95" w:type="dxa"/>
              <w:bottom w:w="95" w:type="dxa"/>
              <w:left w:w="100" w:type="dxa"/>
              <w:right w:w="100" w:type="dxa"/>
            </w:tcMar>
            <w:shd w:fill="FFFFFF"/>
          </w:tcPr>
          <w:p>
            <w:pPr>
              <w:pStyle w:val="TableBody"/>
              <w:jc w:val="center"/>
            </w:pPr>
            <w:r>
              <w:t>E02-ARCH-30</w:t>
            </w:r>
          </w:p>
        </w:tc>
        <w:tc>
          <w:tcPr>
            <w:tcW w:type="dxa" w:w="4766"/>
            <w:vAlign w:val="center"/>
            <w:tcMar>
              <w:top w:w="95" w:type="dxa"/>
              <w:bottom w:w="95" w:type="dxa"/>
              <w:left w:w="100" w:type="dxa"/>
              <w:right w:w="100" w:type="dxa"/>
            </w:tcMar>
            <w:shd w:fill="FFFFFF"/>
          </w:tcPr>
          <w:p>
            <w:pPr>
              <w:pStyle w:val="TableBody"/>
            </w:pPr>
            <w:r>
              <w:t>Пользовательский objective и hard constraints</w:t>
            </w:r>
          </w:p>
        </w:tc>
      </w:tr>
      <w:tr>
        <w:trPr>
          <w:cantSplit/>
        </w:trPr>
        <w:tc>
          <w:tcPr>
            <w:tcW w:type="dxa" w:w="2059"/>
            <w:vAlign w:val="center"/>
            <w:tcMar>
              <w:top w:w="95" w:type="dxa"/>
              <w:bottom w:w="95" w:type="dxa"/>
              <w:left w:w="100" w:type="dxa"/>
              <w:right w:w="100" w:type="dxa"/>
            </w:tcMar>
            <w:shd w:fill="F4F6F7"/>
          </w:tcPr>
          <w:p>
            <w:pPr>
              <w:pStyle w:val="TableBody"/>
            </w:pPr>
            <w:r>
              <w:t>P118 LA-023</w:t>
            </w:r>
          </w:p>
        </w:tc>
        <w:tc>
          <w:tcPr>
            <w:tcW w:type="dxa" w:w="1224"/>
            <w:vAlign w:val="center"/>
            <w:tcMar>
              <w:top w:w="95" w:type="dxa"/>
              <w:bottom w:w="95" w:type="dxa"/>
              <w:left w:w="100" w:type="dxa"/>
              <w:right w:w="100" w:type="dxa"/>
            </w:tcMar>
            <w:shd w:fill="F4F6F7"/>
          </w:tcPr>
          <w:p>
            <w:pPr>
              <w:pStyle w:val="TableBody"/>
              <w:jc w:val="center"/>
            </w:pPr>
            <w:r>
              <w:t>296–328</w:t>
            </w:r>
          </w:p>
        </w:tc>
        <w:tc>
          <w:tcPr>
            <w:tcW w:type="dxa" w:w="1829"/>
            <w:vAlign w:val="center"/>
            <w:tcMar>
              <w:top w:w="95" w:type="dxa"/>
              <w:bottom w:w="95" w:type="dxa"/>
              <w:left w:w="100" w:type="dxa"/>
              <w:right w:w="100" w:type="dxa"/>
            </w:tcMar>
            <w:shd w:fill="F4F6F7"/>
          </w:tcPr>
          <w:p>
            <w:pPr>
              <w:pStyle w:val="TableBody"/>
              <w:jc w:val="center"/>
            </w:pPr>
            <w:r>
              <w:t>E02-ARCH-31</w:t>
            </w:r>
          </w:p>
        </w:tc>
        <w:tc>
          <w:tcPr>
            <w:tcW w:type="dxa" w:w="4766"/>
            <w:vAlign w:val="center"/>
            <w:tcMar>
              <w:top w:w="95" w:type="dxa"/>
              <w:bottom w:w="95" w:type="dxa"/>
              <w:left w:w="100" w:type="dxa"/>
              <w:right w:w="100" w:type="dxa"/>
            </w:tcMar>
            <w:shd w:fill="F4F6F7"/>
          </w:tcPr>
          <w:p>
            <w:pPr>
              <w:pStyle w:val="TableBody"/>
            </w:pPr>
            <w:r>
              <w:t>Domain support, RNG/state resume, independent quality evidence</w:t>
            </w:r>
          </w:p>
        </w:tc>
      </w:tr>
      <w:tr>
        <w:trPr>
          <w:cantSplit/>
        </w:trPr>
        <w:tc>
          <w:tcPr>
            <w:tcW w:type="dxa" w:w="2059"/>
            <w:vAlign w:val="center"/>
            <w:tcMar>
              <w:top w:w="95" w:type="dxa"/>
              <w:bottom w:w="95" w:type="dxa"/>
              <w:left w:w="100" w:type="dxa"/>
              <w:right w:w="100" w:type="dxa"/>
            </w:tcMar>
            <w:shd w:fill="FFFFFF"/>
          </w:tcPr>
          <w:p>
            <w:pPr>
              <w:pStyle w:val="TableBody"/>
            </w:pPr>
            <w:r>
              <w:t>P118 B210</w:t>
            </w:r>
          </w:p>
        </w:tc>
        <w:tc>
          <w:tcPr>
            <w:tcW w:type="dxa" w:w="1224"/>
            <w:vAlign w:val="center"/>
            <w:tcMar>
              <w:top w:w="95" w:type="dxa"/>
              <w:bottom w:w="95" w:type="dxa"/>
              <w:left w:w="100" w:type="dxa"/>
              <w:right w:w="100" w:type="dxa"/>
            </w:tcMar>
            <w:shd w:fill="FFFFFF"/>
          </w:tcPr>
          <w:p>
            <w:pPr>
              <w:pStyle w:val="TableBody"/>
              <w:jc w:val="center"/>
            </w:pPr>
            <w:r>
              <w:t>329–359</w:t>
            </w:r>
          </w:p>
        </w:tc>
        <w:tc>
          <w:tcPr>
            <w:tcW w:type="dxa" w:w="1829"/>
            <w:vAlign w:val="center"/>
            <w:tcMar>
              <w:top w:w="95" w:type="dxa"/>
              <w:bottom w:w="95" w:type="dxa"/>
              <w:left w:w="100" w:type="dxa"/>
              <w:right w:w="100" w:type="dxa"/>
            </w:tcMar>
            <w:shd w:fill="FFFFFF"/>
          </w:tcPr>
          <w:p>
            <w:pPr>
              <w:pStyle w:val="TableBody"/>
              <w:jc w:val="center"/>
            </w:pPr>
            <w:r>
              <w:t>E02-ARCH-32</w:t>
            </w:r>
          </w:p>
        </w:tc>
        <w:tc>
          <w:tcPr>
            <w:tcW w:type="dxa" w:w="4766"/>
            <w:vAlign w:val="center"/>
            <w:tcMar>
              <w:top w:w="95" w:type="dxa"/>
              <w:bottom w:w="95" w:type="dxa"/>
              <w:left w:w="100" w:type="dxa"/>
              <w:right w:w="100" w:type="dxa"/>
            </w:tcMar>
            <w:shd w:fill="FFFFFF"/>
          </w:tcPr>
          <w:p>
            <w:pPr>
              <w:pStyle w:val="TableBody"/>
            </w:pPr>
            <w:r>
              <w:t>Нужный RDD design/assumptions и полноценная variance correction</w:t>
            </w:r>
          </w:p>
        </w:tc>
      </w:tr>
      <w:tr>
        <w:trPr>
          <w:cantSplit/>
        </w:trPr>
        <w:tc>
          <w:tcPr>
            <w:tcW w:type="dxa" w:w="2059"/>
            <w:vAlign w:val="center"/>
            <w:tcMar>
              <w:top w:w="95" w:type="dxa"/>
              <w:bottom w:w="95" w:type="dxa"/>
              <w:left w:w="100" w:type="dxa"/>
              <w:right w:w="100" w:type="dxa"/>
            </w:tcMar>
            <w:shd w:fill="F4F6F7"/>
          </w:tcPr>
          <w:p>
            <w:pPr>
              <w:pStyle w:val="TableBody"/>
            </w:pPr>
            <w:r>
              <w:t>P118 B106</w:t>
            </w:r>
          </w:p>
        </w:tc>
        <w:tc>
          <w:tcPr>
            <w:tcW w:type="dxa" w:w="1224"/>
            <w:vAlign w:val="center"/>
            <w:tcMar>
              <w:top w:w="95" w:type="dxa"/>
              <w:bottom w:w="95" w:type="dxa"/>
              <w:left w:w="100" w:type="dxa"/>
              <w:right w:w="100" w:type="dxa"/>
            </w:tcMar>
            <w:shd w:fill="F4F6F7"/>
          </w:tcPr>
          <w:p>
            <w:pPr>
              <w:pStyle w:val="TableBody"/>
              <w:jc w:val="center"/>
            </w:pPr>
            <w:r>
              <w:t>360–390</w:t>
            </w:r>
          </w:p>
        </w:tc>
        <w:tc>
          <w:tcPr>
            <w:tcW w:type="dxa" w:w="1829"/>
            <w:vAlign w:val="center"/>
            <w:tcMar>
              <w:top w:w="95" w:type="dxa"/>
              <w:bottom w:w="95" w:type="dxa"/>
              <w:left w:w="100" w:type="dxa"/>
              <w:right w:w="100" w:type="dxa"/>
            </w:tcMar>
            <w:shd w:fill="F4F6F7"/>
          </w:tcPr>
          <w:p>
            <w:pPr>
              <w:pStyle w:val="TableBody"/>
              <w:jc w:val="center"/>
            </w:pPr>
            <w:r>
              <w:t>E02-ARCH-33</w:t>
            </w:r>
          </w:p>
        </w:tc>
        <w:tc>
          <w:tcPr>
            <w:tcW w:type="dxa" w:w="4766"/>
            <w:vAlign w:val="center"/>
            <w:tcMar>
              <w:top w:w="95" w:type="dxa"/>
              <w:bottom w:w="95" w:type="dxa"/>
              <w:left w:w="100" w:type="dxa"/>
              <w:right w:w="100" w:type="dxa"/>
            </w:tcMar>
            <w:shd w:fill="F4F6F7"/>
          </w:tcPr>
          <w:p>
            <w:pPr>
              <w:pStyle w:val="TableBody"/>
            </w:pPr>
            <w:r>
              <w:t>Population definition и valid sampled estimator</w:t>
            </w:r>
          </w:p>
        </w:tc>
      </w:tr>
      <w:tr>
        <w:trPr>
          <w:cantSplit/>
        </w:trPr>
        <w:tc>
          <w:tcPr>
            <w:tcW w:type="dxa" w:w="2059"/>
            <w:vAlign w:val="center"/>
            <w:tcMar>
              <w:top w:w="95" w:type="dxa"/>
              <w:bottom w:w="95" w:type="dxa"/>
              <w:left w:w="100" w:type="dxa"/>
              <w:right w:w="100" w:type="dxa"/>
            </w:tcMar>
            <w:shd w:fill="FFFFFF"/>
          </w:tcPr>
          <w:p>
            <w:pPr>
              <w:pStyle w:val="TableBody"/>
            </w:pPr>
            <w:r>
              <w:t>P118 LA-055</w:t>
            </w:r>
          </w:p>
        </w:tc>
        <w:tc>
          <w:tcPr>
            <w:tcW w:type="dxa" w:w="1224"/>
            <w:vAlign w:val="center"/>
            <w:tcMar>
              <w:top w:w="95" w:type="dxa"/>
              <w:bottom w:w="95" w:type="dxa"/>
              <w:left w:w="100" w:type="dxa"/>
              <w:right w:w="100" w:type="dxa"/>
            </w:tcMar>
            <w:shd w:fill="FFFFFF"/>
          </w:tcPr>
          <w:p>
            <w:pPr>
              <w:pStyle w:val="TableBody"/>
              <w:jc w:val="center"/>
            </w:pPr>
            <w:r>
              <w:t>391–419</w:t>
            </w:r>
          </w:p>
        </w:tc>
        <w:tc>
          <w:tcPr>
            <w:tcW w:type="dxa" w:w="1829"/>
            <w:vAlign w:val="center"/>
            <w:tcMar>
              <w:top w:w="95" w:type="dxa"/>
              <w:bottom w:w="95" w:type="dxa"/>
              <w:left w:w="100" w:type="dxa"/>
              <w:right w:w="100" w:type="dxa"/>
            </w:tcMar>
            <w:shd w:fill="FFFFFF"/>
          </w:tcPr>
          <w:p>
            <w:pPr>
              <w:pStyle w:val="TableBody"/>
              <w:jc w:val="center"/>
            </w:pPr>
            <w:r>
              <w:t>E02-ARCH-34</w:t>
            </w:r>
          </w:p>
        </w:tc>
        <w:tc>
          <w:tcPr>
            <w:tcW w:type="dxa" w:w="4766"/>
            <w:vAlign w:val="center"/>
            <w:tcMar>
              <w:top w:w="95" w:type="dxa"/>
              <w:bottom w:w="95" w:type="dxa"/>
              <w:left w:w="100" w:type="dxa"/>
              <w:right w:w="100" w:type="dxa"/>
            </w:tcMar>
            <w:shd w:fill="FFFFFF"/>
          </w:tcPr>
          <w:p>
            <w:pPr>
              <w:pStyle w:val="TableBody"/>
            </w:pPr>
            <w:r>
              <w:t>R2 precedence и genuine institutional restrictions</w:t>
            </w:r>
          </w:p>
        </w:tc>
      </w:tr>
      <w:tr>
        <w:trPr>
          <w:cantSplit/>
        </w:trPr>
        <w:tc>
          <w:tcPr>
            <w:tcW w:type="dxa" w:w="2059"/>
            <w:vAlign w:val="center"/>
            <w:tcMar>
              <w:top w:w="95" w:type="dxa"/>
              <w:bottom w:w="95" w:type="dxa"/>
              <w:left w:w="100" w:type="dxa"/>
              <w:right w:w="100" w:type="dxa"/>
            </w:tcMar>
            <w:shd w:fill="F4F6F7"/>
          </w:tcPr>
          <w:p>
            <w:pPr>
              <w:pStyle w:val="TableBody"/>
            </w:pPr>
            <w:r>
              <w:t>P118 LA-055 companion</w:t>
            </w:r>
          </w:p>
        </w:tc>
        <w:tc>
          <w:tcPr>
            <w:tcW w:type="dxa" w:w="1224"/>
            <w:vAlign w:val="center"/>
            <w:tcMar>
              <w:top w:w="95" w:type="dxa"/>
              <w:bottom w:w="95" w:type="dxa"/>
              <w:left w:w="100" w:type="dxa"/>
              <w:right w:w="100" w:type="dxa"/>
            </w:tcMar>
            <w:shd w:fill="F4F6F7"/>
          </w:tcPr>
          <w:p>
            <w:pPr>
              <w:pStyle w:val="TableBody"/>
              <w:jc w:val="center"/>
            </w:pPr>
            <w:r>
              <w:t>420–441</w:t>
            </w:r>
          </w:p>
        </w:tc>
        <w:tc>
          <w:tcPr>
            <w:tcW w:type="dxa" w:w="1829"/>
            <w:vAlign w:val="center"/>
            <w:tcMar>
              <w:top w:w="95" w:type="dxa"/>
              <w:bottom w:w="95" w:type="dxa"/>
              <w:left w:w="100" w:type="dxa"/>
              <w:right w:w="100" w:type="dxa"/>
            </w:tcMar>
            <w:shd w:fill="F4F6F7"/>
          </w:tcPr>
          <w:p>
            <w:pPr>
              <w:pStyle w:val="TableBody"/>
              <w:jc w:val="center"/>
            </w:pPr>
            <w:r>
              <w:t>E02-ARCH-34</w:t>
            </w:r>
          </w:p>
        </w:tc>
        <w:tc>
          <w:tcPr>
            <w:tcW w:type="dxa" w:w="4766"/>
            <w:vAlign w:val="center"/>
            <w:tcMar>
              <w:top w:w="95" w:type="dxa"/>
              <w:bottom w:w="95" w:type="dxa"/>
              <w:left w:w="100" w:type="dxa"/>
              <w:right w:w="100" w:type="dxa"/>
            </w:tcMar>
            <w:shd w:fill="F4F6F7"/>
          </w:tcPr>
          <w:p>
            <w:pPr>
              <w:pStyle w:val="TableBody"/>
            </w:pPr>
            <w:r>
              <w:t>Live feed/deployment consumer, LA-054 validity и operations</w:t>
            </w:r>
          </w:p>
        </w:tc>
      </w:tr>
    </w:tbl>
    <w:p>
      <w:pPr>
        <w:spacing w:after="0" w:before="0" w:line="80" w:lineRule="exact"/>
      </w:pPr>
      <w:r>
        <w:rPr>
          <w:sz w:val="8"/>
        </w:rPr>
      </w:r>
    </w:p>
    <w:p>
      <w:pPr/>
      <w:r>
        <w:t>Полное чтение исходной очереди выявило дополнительные вопросы сверх старых 25 families и P118. Они отражены отдельно:</w:t>
      </w:r>
    </w:p>
    <w:p>
      <w:pPr>
        <w:pStyle w:val="ListBullet"/>
      </w:pPr>
      <w:r>
        <w:t>R1 Appendix-A acceptance identity: E02-ARCH-36</w:t>
      </w:r>
    </w:p>
    <w:p>
      <w:pPr>
        <w:pStyle w:val="ListBullet"/>
      </w:pPr>
      <w:r>
        <w:t>Новый R9 governed-public read closure trust: E02-ARCH-37, отдельный pending draft на закреплённом HEAD</w:t>
      </w:r>
    </w:p>
    <w:p>
      <w:pPr>
        <w:pStyle w:val="ListBullet"/>
      </w:pPr>
      <w:r>
        <w:t>SIM-03/B19 estimand, B21 computational MCSE, B25 metric set: E02-ARCH-38–40</w:t>
      </w:r>
    </w:p>
    <w:p>
      <w:pPr>
        <w:pStyle w:val="ListBullet"/>
      </w:pPr>
      <w:r>
        <w:t>B111 source objective basis, upstream universe, no-champion и transition inventory: E02-ARCH-41–43 и E02-ARCH-22</w:t>
      </w:r>
    </w:p>
    <w:p>
      <w:pPr>
        <w:pStyle w:val="ListBullet"/>
      </w:pPr>
      <w:r>
        <w:t>R1 actor/delegation/current revocation: E02-ARCH-10</w:t>
      </w:r>
    </w:p>
    <w:p>
      <w:pPr>
        <w:pStyle w:val="ListBullet"/>
      </w:pPr>
      <w:r>
        <w:t>R11 owner-recomputed canonical candidate equality: E02-ARCH-02, engineering/evidence remainder; universal blocked-run policy уже принята</w:t>
      </w:r>
    </w:p>
    <w:p>
      <w:pPr>
        <w:pStyle w:val="ListBullet"/>
      </w:pPr>
      <w:r>
        <w:t>R11a scheduler information/cost/utility units: E02-ARCH-44, отдельный profile choice без выдуманного EIG/USD conversion</w:t>
      </w:r>
    </w:p>
    <w:p>
      <w:pPr>
        <w:pStyle w:val="ListBullet"/>
      </w:pPr>
      <w:r>
        <w:t>R13 baseline-prior reuse и completed-source resolver scope: E02-ARCH-18</w:t>
      </w:r>
    </w:p>
    <w:p>
      <w:pPr>
        <w:pStyle w:val="ListBullet"/>
      </w:pPr>
      <w:r>
        <w:t>R9 local-cache denial и cloud signed-evidence surface: E02-ARCH-05</w:t>
      </w:r>
    </w:p>
    <w:p>
      <w:pPr>
        <w:pStyle w:val="ListBullet"/>
      </w:pPr>
      <w:r>
        <w:t>Три Core public-facade варианта и IR slot-grammar entrypoint: E02-ARCH-35</w:t>
      </w:r>
    </w:p>
    <w:p>
      <w:pPr>
        <w:pStyle w:val="ListBullet"/>
      </w:pPr>
      <w:r>
        <w:t>Foundry/N8 target-platform profile, projector и aggregate drift: E02-ARCH-22</w:t>
      </w:r>
    </w:p>
    <w:p>
      <w:pPr/>
      <w:r>
        <w:t>Эти дополнения показывают, почему прежний список families не следует считать доказательством current completeness.</w:t>
      </w:r>
    </w:p>
    <w:p>
      <w:pPr>
        <w:pStyle w:val="Heading2"/>
      </w:pPr>
      <w:r>
        <w:t>13.3 Что не превращено в дополнительные principal choices</w:t>
      </w:r>
    </w:p>
    <w:p>
      <w:pPr/>
      <w:r>
        <w:t>Runtime/external receipts B38, B63/B70/B71, B78, B81/B82/B85, B87/B89/B90 остаются evidence work в их точном scope. Source/data records B61, B134, B207/B208/B209, B219 и LA-031/041/054 требуют owner-native свидетельств, а не голосования за архитектурный лозунг. Caller/appointment/cutover prerequisites LA-007/019, LA-008/009, LA-011/012, LA-014/016 не исчезают от нового DTO.</w:t>
      </w:r>
    </w:p>
    <w:p>
      <w:pPr/>
      <w:r>
        <w:t>Missing bridges B09, B109, LA-032, D3 optional-input lineage, R11 G4 replay context/post-N7 stop, N8 dependency-profile renewal/transport graph и selected-view propagation располагаются у соответствующих контрактов и исполнителей. Generated-byte drift исправляется по source/generator inputs; unavailable selector не выдаётся за успешную проверку. Карточка может одновременно иметь решённый принцип, недостающий bridge и неполное evidence.</w:t>
      </w:r>
    </w:p>
    <w:p>
      <w:pPr>
        <w:pStyle w:val="Heading1"/>
      </w:pPr>
      <w:bookmarkStart w:id="60" w:name="section_14"/>
      <w:r>
        <w:t>14 Граница источников и версия</w:t>
      </w:r>
      <w:bookmarkEnd w:id="60"/>
    </w:p>
    <w:p>
      <w:pPr>
        <w:pStyle w:val="Heading2"/>
      </w:pPr>
      <w:r>
        <w:t>14.1 Локальный source срез</w:t>
      </w:r>
    </w:p>
    <w:p>
      <w:pPr>
        <w:wordWrap w:val="0"/>
      </w:pPr>
      <w:r>
        <w:t xml:space="preserve">Финальный governing cut: </w:t>
      </w:r>
      <w:r>
        <w:rPr>
          <w:rFonts w:ascii="DejaVu Sans Mono" w:hAnsi="DejaVu Sans Mono"/>
          <w:sz w:val="19"/>
        </w:rPr>
        <w:t>codex/e02-r2@0d2bad005fad98b4b0a9f6a4b7ac590b8445e603</w:t>
      </w:r>
      <w:r>
        <w:t xml:space="preserve">, зафиксирован </w:t>
      </w:r>
      <w:r>
        <w:rPr>
          <w:b/>
        </w:rPr>
        <w:t>1 октября 2026 года в 06:38:38.380801 UTC</w:t>
      </w:r>
      <w:r>
        <w:t>. Полностью содержательно прочитаны pinned OPEN_PREMISES 1–1193, DECISION_RECORDS 1–4802, P_DECISION_DRAFTS 1–445 и REGISTER_PROPOSALS 1–353, включая ранее недочитанные historical receipts. Это полный документальный проход этих четырёх источников; их утверждения не проверялись повторным исполнением. Поздние параллельные dirty R9 изменения вне pin исключены, moving HEAD дальше не преследуется.</w:t>
      </w:r>
    </w:p>
    <w:p>
      <w:pPr>
        <w:wordWrap w:val="0"/>
      </w:pPr>
      <w:r>
        <w:t xml:space="preserve">Подробный базовый code-seam mapping выполнен на более раннем </w:t>
      </w:r>
      <w:r>
        <w:rPr>
          <w:rFonts w:ascii="DejaVu Sans Mono" w:hAnsi="DejaVu Sans Mono"/>
          <w:sz w:val="19"/>
        </w:rPr>
        <w:t>695ef7fd3b6e5d7da78fa614da8f9645092eeb8f</w:t>
      </w:r>
      <w:r>
        <w:t>. На final pin дополнительно адресно проверены B111 runner/protocol/node, новый R9 trust draft и полностью пересчитаны оба census JSON через git show. Это не независимая перепроверка всех source files. В source references ниже эти уровни разделены.</w:t>
      </w:r>
    </w:p>
    <w:p>
      <w:pPr>
        <w:wordWrap w:val="0"/>
      </w:pPr>
      <w:r>
        <w:t xml:space="preserve">На </w:t>
      </w:r>
      <w:r>
        <w:rPr>
          <w:b/>
        </w:rPr>
        <w:t>final pin 0d2bad</w:t>
      </w:r>
      <w:r>
        <w:t xml:space="preserve"> повторно пересчитаны конкретные denominator: </w:t>
      </w:r>
      <w:r>
        <w:rPr>
          <w:rFonts w:ascii="DejaVu Sans Mono" w:hAnsi="DejaVu Sans Mono"/>
          <w:sz w:val="19"/>
        </w:rPr>
        <w:t>residual_ledger.json</w:t>
      </w:r>
      <w:r>
        <w:t xml:space="preserve"> содержит 282 rows: 261 partial, 12 held, 8 closed, 1 open; </w:t>
      </w:r>
      <w:r>
        <w:rPr>
          <w:rFonts w:ascii="DejaVu Sans Mono" w:hAnsi="DejaVu Sans Mono"/>
          <w:sz w:val="19"/>
        </w:rPr>
        <w:t>partial_triage.json</w:t>
      </w:r>
      <w:r>
        <w:t xml:space="preserve"> содержит 118 rows: 87 engineering, 18 typed_blocker, 13 principal, и </w:t>
      </w:r>
      <w:r>
        <w:rPr>
          <w:rFonts w:ascii="DejaVu Sans Mono" w:hAnsi="DejaVu Sans Mono"/>
          <w:sz w:val="19"/>
        </w:rPr>
        <w:t>decision_draft_count=13</w:t>
      </w:r>
      <w:r>
        <w:t>. Оба файла byte-identical относительно 695ef7fd: added/removed/changed rows=0, owner/status/disposition не изменились. Это повторная проверка неизменных census artifacts, не обновление их содержательного standing и не число всех задач PolicyOS. Старые 25 analytical families служат coverage aid; дополнительные substantive вопросы отображены в разделе 13.</w:t>
      </w:r>
    </w:p>
    <w:p>
      <w:pPr/>
      <w:r>
        <w:t>Не заявлены full transitive consumer census, live CAS/store inventory, institutional appointments, повторная проверка всех raw receipts и продуктовые/test/provider runs. Адресно подтверждённые callers не доказывают отсутствие других. Предыдущий programme dossier использован как поддерживающий контекст и список вопросов, не как принятая архитектура.</w:t>
      </w:r>
    </w:p>
    <w:p>
      <w:pPr/>
      <w:r>
        <w:t>Важные исправления прежних premises: R9 V2 refusal уже принят; B61 и B197 имеют интегрированные ограниченные пути; optional verifier существует; B117 использует per-loop local flock; trainer вызывает native Economics adapter; scalar forecast требует специального profile; readiness уже содержит R3/R4 veto. Все рекомендации выше исходят из этих фактов и не требуют повторно чинить отсутствовавший лишь в старой версии механизм.</w:t>
      </w:r>
    </w:p>
    <w:p>
      <w:pPr>
        <w:pStyle w:val="Heading2"/>
      </w:pPr>
      <w:r>
        <w:t>14.2 Управляющие документы</w:t>
      </w:r>
    </w:p>
    <w:p>
      <w:pPr/>
      <w:r>
        <w:t>Все пути ниже относительны корню репозитория. Четыре управляющих Markdown и два повторно проверенных JSON привязаны к final pin 0d2bad. Byte identity JSON с baseline 695ef7fd проверена отдельно.</w:t>
      </w:r>
    </w:p>
    <w:p>
      <w:pPr>
        <w:wordWrap w:val="0"/>
      </w:pPr>
      <w:r>
        <w:t xml:space="preserve">Базовый prefix: </w:t>
      </w:r>
      <w:r>
        <w:rPr>
          <w:rFonts w:ascii="DejaVu Sans Mono" w:hAnsi="DejaVu Sans Mono"/>
          <w:sz w:val="19"/>
        </w:rPr>
        <w:t>policy-engine/docs/plans/active/agent-packages/PolicyOS_E02R2/</w:t>
      </w:r>
      <w:r>
        <w: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574"/>
      </w:tblGrid>
      <w:tr>
        <w:trPr>
          <w:cantSplit/>
          <w:tblHeader/>
        </w:trPr>
        <w:tc>
          <w:tcPr>
            <w:tcW w:type="dxa" w:w="2304"/>
            <w:vAlign w:val="center"/>
            <w:tcMar>
              <w:top w:w="95" w:type="dxa"/>
              <w:bottom w:w="95" w:type="dxa"/>
              <w:left w:w="100" w:type="dxa"/>
              <w:right w:w="100" w:type="dxa"/>
            </w:tcMar>
            <w:shd w:fill="E5EDF1"/>
          </w:tcPr>
          <w:p>
            <w:pPr>
              <w:pStyle w:val="TableBody"/>
              <w:keepNext/>
            </w:pPr>
            <w:r>
              <w:rPr>
                <w:b/>
                <w:color w:val="000000"/>
              </w:rPr>
              <w:t>Документ</w:t>
            </w:r>
          </w:p>
        </w:tc>
        <w:tc>
          <w:tcPr>
            <w:tcW w:type="dxa" w:w="7574"/>
            <w:vAlign w:val="center"/>
            <w:tcMar>
              <w:top w:w="95" w:type="dxa"/>
              <w:bottom w:w="95" w:type="dxa"/>
              <w:left w:w="100" w:type="dxa"/>
              <w:right w:w="100" w:type="dxa"/>
            </w:tcMar>
            <w:shd w:fill="E5EDF1"/>
          </w:tcPr>
          <w:p>
            <w:pPr>
              <w:pStyle w:val="TableBody"/>
              <w:keepNext/>
            </w:pPr>
            <w:r>
              <w:rPr>
                <w:b/>
                <w:color w:val="000000"/>
              </w:rPr>
              <w:t>SHA256</w:t>
            </w:r>
          </w:p>
        </w:tc>
      </w:tr>
      <w:tr>
        <w:trPr>
          <w:cantSplit/>
        </w:trPr>
        <w:tc>
          <w:tcPr>
            <w:tcW w:type="dxa" w:w="2304"/>
            <w:vAlign w:val="center"/>
            <w:tcMar>
              <w:top w:w="95" w:type="dxa"/>
              <w:bottom w:w="95" w:type="dxa"/>
              <w:left w:w="100" w:type="dxa"/>
              <w:right w:w="100" w:type="dxa"/>
            </w:tcMar>
            <w:shd w:fill="FFFFFF"/>
          </w:tcPr>
          <w:p>
            <w:pPr>
              <w:pStyle w:val="TableBody"/>
            </w:pPr>
            <w:r>
              <w:t>OPEN_PREMISES.md</w:t>
            </w:r>
          </w:p>
        </w:tc>
        <w:tc>
          <w:tcPr>
            <w:tcW w:type="dxa" w:w="7574"/>
            <w:vAlign w:val="center"/>
            <w:tcMar>
              <w:top w:w="95" w:type="dxa"/>
              <w:bottom w:w="95" w:type="dxa"/>
              <w:left w:w="100" w:type="dxa"/>
              <w:right w:w="100" w:type="dxa"/>
            </w:tcMar>
            <w:shd w:fill="FFFFFF"/>
          </w:tcPr>
          <w:p>
            <w:pPr>
              <w:pStyle w:val="TableBody"/>
              <w:wordWrap w:val="0"/>
            </w:pPr>
            <w:r>
              <w:rPr>
                <w:rFonts w:ascii="DejaVu Sans Mono" w:hAnsi="DejaVu Sans Mono"/>
                <w:sz w:val="18"/>
              </w:rPr>
              <w:t>1483c75a24fd4984a9cc4bdac3c7c7c9bfa9bb290f2a81dd2f110ef39fbc3f42</w:t>
            </w:r>
          </w:p>
        </w:tc>
      </w:tr>
      <w:tr>
        <w:trPr>
          <w:cantSplit/>
        </w:trPr>
        <w:tc>
          <w:tcPr>
            <w:tcW w:type="dxa" w:w="2304"/>
            <w:vAlign w:val="center"/>
            <w:tcMar>
              <w:top w:w="95" w:type="dxa"/>
              <w:bottom w:w="95" w:type="dxa"/>
              <w:left w:w="100" w:type="dxa"/>
              <w:right w:w="100" w:type="dxa"/>
            </w:tcMar>
            <w:shd w:fill="F4F6F7"/>
          </w:tcPr>
          <w:p>
            <w:pPr>
              <w:pStyle w:val="TableBody"/>
            </w:pPr>
            <w:r>
              <w:t>DECISION_RECORDS.md</w:t>
            </w:r>
          </w:p>
        </w:tc>
        <w:tc>
          <w:tcPr>
            <w:tcW w:type="dxa" w:w="7574"/>
            <w:vAlign w:val="center"/>
            <w:tcMar>
              <w:top w:w="95" w:type="dxa"/>
              <w:bottom w:w="95" w:type="dxa"/>
              <w:left w:w="100" w:type="dxa"/>
              <w:right w:w="100" w:type="dxa"/>
            </w:tcMar>
            <w:shd w:fill="F4F6F7"/>
          </w:tcPr>
          <w:p>
            <w:pPr>
              <w:pStyle w:val="TableBody"/>
              <w:wordWrap w:val="0"/>
            </w:pPr>
            <w:r>
              <w:rPr>
                <w:rFonts w:ascii="DejaVu Sans Mono" w:hAnsi="DejaVu Sans Mono"/>
                <w:sz w:val="18"/>
              </w:rPr>
              <w:t>d7d073d8b09f60c4e5032612f4d6a2f31c9a87dd8ae654abc75618671a178366</w:t>
            </w:r>
          </w:p>
        </w:tc>
      </w:tr>
      <w:tr>
        <w:trPr>
          <w:cantSplit/>
        </w:trPr>
        <w:tc>
          <w:tcPr>
            <w:tcW w:type="dxa" w:w="2304"/>
            <w:vAlign w:val="center"/>
            <w:tcMar>
              <w:top w:w="95" w:type="dxa"/>
              <w:bottom w:w="95" w:type="dxa"/>
              <w:left w:w="100" w:type="dxa"/>
              <w:right w:w="100" w:type="dxa"/>
            </w:tcMar>
            <w:shd w:fill="FFFFFF"/>
          </w:tcPr>
          <w:p>
            <w:pPr>
              <w:pStyle w:val="TableBody"/>
            </w:pPr>
            <w:r>
              <w:t>P_DECISION_DRAFTS.md</w:t>
            </w:r>
          </w:p>
        </w:tc>
        <w:tc>
          <w:tcPr>
            <w:tcW w:type="dxa" w:w="7574"/>
            <w:vAlign w:val="center"/>
            <w:tcMar>
              <w:top w:w="95" w:type="dxa"/>
              <w:bottom w:w="95" w:type="dxa"/>
              <w:left w:w="100" w:type="dxa"/>
              <w:right w:w="100" w:type="dxa"/>
            </w:tcMar>
            <w:shd w:fill="FFFFFF"/>
          </w:tcPr>
          <w:p>
            <w:pPr>
              <w:pStyle w:val="TableBody"/>
              <w:wordWrap w:val="0"/>
            </w:pPr>
            <w:r>
              <w:rPr>
                <w:rFonts w:ascii="DejaVu Sans Mono" w:hAnsi="DejaVu Sans Mono"/>
                <w:sz w:val="18"/>
              </w:rPr>
              <w:t>6bb56be3f370027ee08fdf9e1286b79e289cca063852e47519232d93a993455f</w:t>
            </w:r>
          </w:p>
        </w:tc>
      </w:tr>
      <w:tr>
        <w:trPr>
          <w:cantSplit/>
        </w:trPr>
        <w:tc>
          <w:tcPr>
            <w:tcW w:type="dxa" w:w="2304"/>
            <w:vAlign w:val="center"/>
            <w:tcMar>
              <w:top w:w="95" w:type="dxa"/>
              <w:bottom w:w="95" w:type="dxa"/>
              <w:left w:w="100" w:type="dxa"/>
              <w:right w:w="100" w:type="dxa"/>
            </w:tcMar>
            <w:shd w:fill="F4F6F7"/>
          </w:tcPr>
          <w:p>
            <w:pPr>
              <w:pStyle w:val="TableBody"/>
            </w:pPr>
            <w:r>
              <w:t>REGISTER_PROPOSALS.md</w:t>
            </w:r>
          </w:p>
        </w:tc>
        <w:tc>
          <w:tcPr>
            <w:tcW w:type="dxa" w:w="7574"/>
            <w:vAlign w:val="center"/>
            <w:tcMar>
              <w:top w:w="95" w:type="dxa"/>
              <w:bottom w:w="95" w:type="dxa"/>
              <w:left w:w="100" w:type="dxa"/>
              <w:right w:w="100" w:type="dxa"/>
            </w:tcMar>
            <w:shd w:fill="F4F6F7"/>
          </w:tcPr>
          <w:p>
            <w:pPr>
              <w:pStyle w:val="TableBody"/>
              <w:wordWrap w:val="0"/>
            </w:pPr>
            <w:r>
              <w:rPr>
                <w:rFonts w:ascii="DejaVu Sans Mono" w:hAnsi="DejaVu Sans Mono"/>
                <w:sz w:val="18"/>
              </w:rPr>
              <w:t>e4550d85748fb8cb4a77e644ebd449fb0553237fd15f815a2962729f1ef1fabe</w:t>
            </w:r>
          </w:p>
        </w:tc>
      </w:tr>
      <w:tr>
        <w:trPr>
          <w:cantSplit/>
        </w:trPr>
        <w:tc>
          <w:tcPr>
            <w:tcW w:type="dxa" w:w="2304"/>
            <w:vAlign w:val="center"/>
            <w:tcMar>
              <w:top w:w="95" w:type="dxa"/>
              <w:bottom w:w="95" w:type="dxa"/>
              <w:left w:w="100" w:type="dxa"/>
              <w:right w:w="100" w:type="dxa"/>
            </w:tcMar>
            <w:shd w:fill="FFFFFF"/>
          </w:tcPr>
          <w:p>
            <w:pPr>
              <w:pStyle w:val="TableBody"/>
            </w:pPr>
            <w:r>
              <w:t>residual_ledger.json</w:t>
            </w:r>
          </w:p>
        </w:tc>
        <w:tc>
          <w:tcPr>
            <w:tcW w:type="dxa" w:w="7574"/>
            <w:vAlign w:val="center"/>
            <w:tcMar>
              <w:top w:w="95" w:type="dxa"/>
              <w:bottom w:w="95" w:type="dxa"/>
              <w:left w:w="100" w:type="dxa"/>
              <w:right w:w="100" w:type="dxa"/>
            </w:tcMar>
            <w:shd w:fill="FFFFFF"/>
          </w:tcPr>
          <w:p>
            <w:pPr>
              <w:pStyle w:val="TableBody"/>
              <w:wordWrap w:val="0"/>
            </w:pPr>
            <w:r>
              <w:rPr>
                <w:rFonts w:ascii="DejaVu Sans Mono" w:hAnsi="DejaVu Sans Mono"/>
                <w:sz w:val="18"/>
              </w:rPr>
              <w:t>07cf974004fb6806fb53c263b7e1fdb0973bb85be23a0c9b36306a8f1f891754</w:t>
            </w:r>
          </w:p>
        </w:tc>
      </w:tr>
      <w:tr>
        <w:trPr>
          <w:cantSplit/>
        </w:trPr>
        <w:tc>
          <w:tcPr>
            <w:tcW w:type="dxa" w:w="2304"/>
            <w:vAlign w:val="center"/>
            <w:tcMar>
              <w:top w:w="95" w:type="dxa"/>
              <w:bottom w:w="95" w:type="dxa"/>
              <w:left w:w="100" w:type="dxa"/>
              <w:right w:w="100" w:type="dxa"/>
            </w:tcMar>
            <w:shd w:fill="F4F6F7"/>
          </w:tcPr>
          <w:p>
            <w:pPr>
              <w:pStyle w:val="TableBody"/>
            </w:pPr>
            <w:r>
              <w:t>partial_triage.json</w:t>
            </w:r>
          </w:p>
        </w:tc>
        <w:tc>
          <w:tcPr>
            <w:tcW w:type="dxa" w:w="7574"/>
            <w:vAlign w:val="center"/>
            <w:tcMar>
              <w:top w:w="95" w:type="dxa"/>
              <w:bottom w:w="95" w:type="dxa"/>
              <w:left w:w="100" w:type="dxa"/>
              <w:right w:w="100" w:type="dxa"/>
            </w:tcMar>
            <w:shd w:fill="F4F6F7"/>
          </w:tcPr>
          <w:p>
            <w:pPr>
              <w:pStyle w:val="TableBody"/>
              <w:wordWrap w:val="0"/>
            </w:pPr>
            <w:r>
              <w:rPr>
                <w:rFonts w:ascii="DejaVu Sans Mono" w:hAnsi="DejaVu Sans Mono"/>
                <w:sz w:val="18"/>
              </w:rPr>
              <w:t>d5fcd61afc22951ad25324b0bc0a2ec9b5f768a689d4dabffc748985dc7e19ad</w:t>
            </w:r>
          </w:p>
        </w:tc>
      </w:tr>
    </w:tbl>
    <w:p>
      <w:pPr>
        <w:spacing w:after="0" w:before="0" w:line="80" w:lineRule="exact"/>
      </w:pPr>
      <w:r>
        <w:rPr>
          <w:sz w:val="8"/>
        </w:rPr>
      </w:r>
    </w:p>
    <w:p>
      <w:pPr>
        <w:wordWrap w:val="0"/>
      </w:pPr>
      <w:r>
        <w:rPr>
          <w:rFonts w:ascii="DejaVu Sans Mono" w:hAnsi="DejaVu Sans Mono"/>
          <w:sz w:val="19"/>
        </w:rPr>
        <w:t>OPEN_PREMISES</w:t>
      </w:r>
      <w:r>
        <w:t xml:space="preserve"> — очередь ограничений, не самостоятельное adoption. В </w:t>
      </w:r>
      <w:r>
        <w:rPr>
          <w:rFonts w:ascii="DejaVu Sans Mono" w:hAnsi="DejaVu Sans Mono"/>
          <w:sz w:val="19"/>
        </w:rPr>
        <w:t>DECISION_RECORDS</w:t>
      </w:r>
      <w:r>
        <w:t xml:space="preserve"> текущая reconciliation находится в начале, последующие исторические drafts не становятся новыми решениями от повторного чтения. </w:t>
      </w:r>
      <w:r>
        <w:rPr>
          <w:rFonts w:ascii="DejaVu Sans Mono" w:hAnsi="DejaVu Sans Mono"/>
          <w:sz w:val="19"/>
        </w:rPr>
        <w:t>REGISTER_PROPOSALS</w:t>
      </w:r>
      <w:r>
        <w:t xml:space="preserve"> не заменяет принятие Debt Register.</w:t>
      </w:r>
    </w:p>
    <w:p>
      <w:pPr/>
      <w:r>
        <w:t>Особенно значимые locators управляющих документов: DECISION_RECORDS 2080–2174 per-active-basis; 2175–2885 selected views; 4339–4361 и 4534–4559 Appendix-A; 4577–4598 N11 scope/custody; 4599–4610 history rule; 4611–4685 N5 graph owner; 4686–4701 publication; 4702–4773 V3 и принятый V2 refusal; 4774–4792 bounded selector design. R3 transition — 1704–1727; W5/WS-2D — 3954–4100.</w:t>
      </w:r>
    </w:p>
    <w:p>
      <w:pPr>
        <w:wordWrap w:val="0"/>
      </w:pPr>
      <w:r>
        <w:t xml:space="preserve">Source prefix: </w:t>
      </w:r>
      <w:r>
        <w:rPr>
          <w:rFonts w:ascii="DejaVu Sans Mono" w:hAnsi="DejaVu Sans Mono"/>
          <w:sz w:val="19"/>
        </w:rPr>
        <w:t>policy-engine/src/polisyos/</w:t>
      </w:r>
      <w:r>
        <w:t>. Следующие ключевые owner seams адресно читались в базовом code mapping 695ef7fd; они не обозначают полный current code audit:</w:t>
      </w:r>
    </w:p>
    <w:p>
      <w:pPr>
        <w:pStyle w:val="ListBullet"/>
        <w:wordWrap w:val="0"/>
      </w:pPr>
      <w:r>
        <w:rPr>
          <w:rFonts w:ascii="DejaVu Sans Mono" w:hAnsi="DejaVu Sans Mono"/>
          <w:sz w:val="19"/>
        </w:rPr>
        <w:t>runtime/quality/confidence_ledger.py:204–251</w:t>
      </w:r>
      <w:r>
        <w:t xml:space="preserve"> и </w:t>
      </w:r>
      <w:r>
        <w:rPr>
          <w:rFonts w:ascii="DejaVu Sans Mono" w:hAnsi="DejaVu Sans Mono"/>
          <w:sz w:val="19"/>
        </w:rPr>
        <w:t>promotion_sequence.py:3494–3510</w:t>
      </w:r>
      <w:r>
        <w:t>: scope и native claim bindings</w:t>
      </w:r>
    </w:p>
    <w:p>
      <w:pPr>
        <w:pStyle w:val="ListBullet"/>
        <w:wordWrap w:val="0"/>
      </w:pPr>
      <w:r>
        <w:rPr>
          <w:rFonts w:ascii="DejaVu Sans Mono" w:hAnsi="DejaVu Sans Mono"/>
          <w:sz w:val="19"/>
        </w:rPr>
        <w:t>runtime/http/services/control_plane_store.py:917–1048,2805–2868,3401–3475,4238–4285</w:t>
      </w:r>
      <w:r>
        <w:t>: control rows, execution admission, lookup, completed proof, event list</w:t>
      </w:r>
    </w:p>
    <w:p>
      <w:pPr>
        <w:pStyle w:val="ListBullet"/>
        <w:wordWrap w:val="0"/>
      </w:pPr>
      <w:r>
        <w:rPr>
          <w:rFonts w:ascii="DejaVu Sans Mono" w:hAnsi="DejaVu Sans Mono"/>
          <w:sz w:val="19"/>
        </w:rPr>
        <w:t>runtime/http/services/control_worker.py:144–274</w:t>
      </w:r>
      <w:r>
        <w:t>: lease, heartbeat, execution fence</w:t>
      </w:r>
    </w:p>
    <w:p>
      <w:pPr>
        <w:pStyle w:val="ListBullet"/>
        <w:wordWrap w:val="0"/>
      </w:pPr>
      <w:r>
        <w:rPr>
          <w:rFonts w:ascii="DejaVu Sans Mono" w:hAnsi="DejaVu Sans Mono"/>
          <w:sz w:val="19"/>
        </w:rPr>
        <w:t>runtime/quality/acquisition_route_loop.py:277–313</w:t>
      </w:r>
      <w:r>
        <w:t>: current route/closure boundary</w:t>
      </w:r>
    </w:p>
    <w:p>
      <w:pPr>
        <w:pStyle w:val="ListBullet"/>
        <w:wordWrap w:val="0"/>
      </w:pPr>
      <w:r>
        <w:rPr>
          <w:rFonts w:ascii="DejaVu Sans Mono" w:hAnsi="DejaVu Sans Mono"/>
          <w:sz w:val="19"/>
        </w:rPr>
        <w:t>scientist/methods/search/stopping.py:117–181</w:t>
      </w:r>
      <w:r>
        <w:t>: текущий plateau</w:t>
      </w:r>
    </w:p>
    <w:p>
      <w:pPr>
        <w:pStyle w:val="ListBullet"/>
        <w:wordWrap w:val="0"/>
      </w:pPr>
      <w:r>
        <w:rPr>
          <w:rFonts w:ascii="DejaVu Sans Mono" w:hAnsi="DejaVu Sans Mono"/>
          <w:sz w:val="19"/>
        </w:rPr>
        <w:t>scientist/methods/autotune/registry.py</w:t>
      </w:r>
      <w:r>
        <w:t xml:space="preserve"> и </w:t>
      </w:r>
      <w:r>
        <w:rPr>
          <w:rFonts w:ascii="DejaVu Sans Mono" w:hAnsi="DejaVu Sans Mono"/>
          <w:sz w:val="19"/>
        </w:rPr>
        <w:t>autotune/runtime.py:250–289</w:t>
      </w:r>
      <w:r>
        <w:t>: champion owner и inspected caller</w:t>
      </w:r>
    </w:p>
    <w:p>
      <w:pPr>
        <w:pStyle w:val="ListBullet"/>
        <w:wordWrap w:val="0"/>
      </w:pPr>
      <w:r>
        <w:rPr>
          <w:rFonts w:ascii="DejaVu Sans Mono" w:hAnsi="DejaVu Sans Mono"/>
          <w:sz w:val="19"/>
        </w:rPr>
        <w:t>scientist/methods/backtesting/plan.py:31–53</w:t>
      </w:r>
      <w:r>
        <w:t xml:space="preserve"> и </w:t>
      </w:r>
      <w:r>
        <w:rPr>
          <w:rFonts w:ascii="DejaVu Sans Mono" w:hAnsi="DejaVu Sans Mono"/>
          <w:sz w:val="19"/>
        </w:rPr>
        <w:t>orchestrator.py</w:t>
      </w:r>
      <w:r>
        <w:t>: forecast profile и validation boundary</w:t>
      </w:r>
    </w:p>
    <w:p>
      <w:pPr>
        <w:pStyle w:val="ListBullet"/>
        <w:wordWrap w:val="0"/>
      </w:pPr>
      <w:r>
        <w:rPr>
          <w:rFonts w:ascii="DejaVu Sans Mono" w:hAnsi="DejaVu Sans Mono"/>
          <w:sz w:val="19"/>
        </w:rPr>
        <w:t>foundry/plugins/api.py:203–299</w:t>
      </w:r>
      <w:r>
        <w:t xml:space="preserve">, </w:t>
      </w:r>
      <w:r>
        <w:rPr>
          <w:rFonts w:ascii="DejaVu Sans Mono" w:hAnsi="DejaVu Sans Mono"/>
          <w:sz w:val="19"/>
        </w:rPr>
        <w:t>training_adapter.py:271–325,480–527</w:t>
      </w:r>
      <w:r>
        <w:t xml:space="preserve">, </w:t>
      </w:r>
      <w:r>
        <w:rPr>
          <w:rFonts w:ascii="DejaVu Sans Mono" w:hAnsi="DejaVu Sans Mono"/>
          <w:sz w:val="19"/>
        </w:rPr>
        <w:t>economics/baselines.py</w:t>
      </w:r>
      <w:r>
        <w:t>: действующий ограниченный training и baseline</w:t>
      </w:r>
    </w:p>
    <w:p>
      <w:pPr>
        <w:pStyle w:val="ListBullet"/>
        <w:wordWrap w:val="0"/>
      </w:pPr>
      <w:r>
        <w:rPr>
          <w:rFonts w:ascii="DejaVu Sans Mono" w:hAnsi="DejaVu Sans Mono"/>
          <w:sz w:val="19"/>
        </w:rPr>
        <w:t>ddm/contracts/events.py:196–219</w:t>
      </w:r>
      <w:r>
        <w:t xml:space="preserve">, </w:t>
      </w:r>
      <w:r>
        <w:rPr>
          <w:rFonts w:ascii="DejaVu Sans Mono" w:hAnsi="DejaVu Sans Mono"/>
          <w:sz w:val="19"/>
        </w:rPr>
        <w:t>ddm/integration/model_registry.py:43–78,85+,193–268</w:t>
      </w:r>
      <w:r>
        <w:t>: readiness identity/validity/veto</w:t>
      </w:r>
    </w:p>
    <w:p>
      <w:pPr>
        <w:pStyle w:val="ListBullet"/>
        <w:wordWrap w:val="0"/>
      </w:pPr>
      <w:r>
        <w:rPr>
          <w:rFonts w:ascii="DejaVu Sans Mono" w:hAnsi="DejaVu Sans Mono"/>
          <w:sz w:val="19"/>
        </w:rPr>
        <w:t>core/artifacts/protocol.py</w:t>
      </w:r>
      <w:r>
        <w:t xml:space="preserve">, </w:t>
      </w:r>
      <w:r>
        <w:rPr>
          <w:rFonts w:ascii="DejaVu Sans Mono" w:hAnsi="DejaVu Sans Mono"/>
          <w:sz w:val="19"/>
        </w:rPr>
        <w:t>ownership.py</w:t>
      </w:r>
      <w:r>
        <w:t xml:space="preserve">, </w:t>
      </w:r>
      <w:r>
        <w:rPr>
          <w:rFonts w:ascii="DejaVu Sans Mono" w:hAnsi="DejaVu Sans Mono"/>
          <w:sz w:val="19"/>
        </w:rPr>
        <w:t>runtime/quality/generation_source.py</w:t>
      </w:r>
      <w:r>
        <w:t>: verifier, ownership и source custody</w:t>
      </w:r>
    </w:p>
    <w:p>
      <w:pPr/>
      <w:r>
        <w:t>Дополнительные exact code pins на final 0d2bad:</w:t>
      </w:r>
    </w:p>
    <w:p>
      <w:pPr>
        <w:pStyle w:val="SourceRecord"/>
        <w:keepNext/>
        <w:wordWrap w:val="0"/>
      </w:pPr>
      <w:r>
        <w:rPr>
          <w:rFonts w:ascii="DejaVu Sans Mono" w:hAnsi="DejaVu Sans Mono"/>
          <w:b/>
          <w:sz w:val="19"/>
        </w:rPr>
        <w:t>scientist/orchestration/engine/protocol.py</w:t>
      </w:r>
    </w:p>
    <w:p>
      <w:pPr>
        <w:keepNext/>
        <w:keepLines/>
        <w:wordWrap w:val="0"/>
      </w:pPr>
      <w:r>
        <w:rPr>
          <w:b/>
        </w:rPr>
        <w:t xml:space="preserve">SHA256. </w:t>
      </w:r>
      <w:r>
        <w:rPr>
          <w:rFonts w:ascii="DejaVu Sans Mono" w:hAnsi="DejaVu Sans Mono"/>
          <w:sz w:val="19"/>
        </w:rPr>
        <w:t>b38481eec549e4bb999937c52f9fedc4269a78709f850adaa23b64f0032fba76</w:t>
      </w:r>
    </w:p>
    <w:p>
      <w:pPr>
        <w:keepNext w:val="0"/>
        <w:keepLines/>
        <w:wordWrap w:val="0"/>
      </w:pPr>
      <w:r>
        <w:rPr>
          <w:b/>
        </w:rPr>
        <w:t xml:space="preserve">Прочитанные свойства. </w:t>
      </w:r>
      <w:r>
        <w:t xml:space="preserve">18,65–88 </w:t>
      </w:r>
      <w:r>
        <w:rPr>
          <w:rFonts w:ascii="DejaVu Sans Mono" w:hAnsi="DejaVu Sans Mono"/>
          <w:sz w:val="19"/>
        </w:rPr>
        <w:t>ok/skip/fail</w:t>
      </w:r>
      <w:r>
        <w:t xml:space="preserve"> и NodeOutcome; 99–125 output availability contract</w:t>
      </w:r>
    </w:p>
    <w:p>
      <w:pPr>
        <w:pStyle w:val="SourceRecord"/>
        <w:keepNext/>
        <w:wordWrap w:val="0"/>
      </w:pPr>
      <w:r>
        <w:rPr>
          <w:rFonts w:ascii="DejaVu Sans Mono" w:hAnsi="DejaVu Sans Mono"/>
          <w:b/>
          <w:sz w:val="19"/>
        </w:rPr>
        <w:t>scientist/orchestration/engine/executor.py</w:t>
      </w:r>
    </w:p>
    <w:p>
      <w:pPr>
        <w:keepNext/>
        <w:keepLines/>
        <w:wordWrap w:val="0"/>
      </w:pPr>
      <w:r>
        <w:rPr>
          <w:b/>
        </w:rPr>
        <w:t xml:space="preserve">SHA256. </w:t>
      </w:r>
      <w:r>
        <w:rPr>
          <w:rFonts w:ascii="DejaVu Sans Mono" w:hAnsi="DejaVu Sans Mono"/>
          <w:sz w:val="19"/>
        </w:rPr>
        <w:t>de6b1a89663b8284bd0cbae8eaade6e936ce5c5bce05844c100fd288e0d80c82</w:t>
      </w:r>
    </w:p>
    <w:p>
      <w:pPr>
        <w:keepNext w:val="0"/>
        <w:keepLines/>
      </w:pPr>
      <w:r>
        <w:rPr>
          <w:b/>
        </w:rPr>
        <w:t xml:space="preserve">Прочитанные свойства. </w:t>
      </w:r>
      <w:r>
        <w:t>945–971 dependency gate; 1544–1568 state/provenance только при ok; 1610–1701 audit/checkpoint/outcome</w:t>
      </w:r>
    </w:p>
    <w:p>
      <w:pPr>
        <w:pStyle w:val="SourceRecord"/>
        <w:keepNext/>
        <w:wordWrap w:val="0"/>
      </w:pPr>
      <w:r>
        <w:rPr>
          <w:rFonts w:ascii="DejaVu Sans Mono" w:hAnsi="DejaVu Sans Mono"/>
          <w:b/>
          <w:sz w:val="19"/>
        </w:rPr>
        <w:t>scientist/nodes/builtins/planning/run_hierarchical_policy_search.py</w:t>
      </w:r>
    </w:p>
    <w:p>
      <w:pPr>
        <w:keepNext/>
        <w:keepLines/>
        <w:wordWrap w:val="0"/>
      </w:pPr>
      <w:r>
        <w:rPr>
          <w:b/>
        </w:rPr>
        <w:t xml:space="preserve">SHA256. </w:t>
      </w:r>
      <w:r>
        <w:rPr>
          <w:rFonts w:ascii="DejaVu Sans Mono" w:hAnsi="DejaVu Sans Mono"/>
          <w:sz w:val="19"/>
        </w:rPr>
        <w:t>78d0ed29ab675a7a5f75397897cac208848710584a592bf7047c3c9d3acfe3c0</w:t>
      </w:r>
    </w:p>
    <w:p>
      <w:pPr>
        <w:keepNext w:val="0"/>
        <w:keepLines/>
      </w:pPr>
      <w:r>
        <w:rPr>
          <w:b/>
        </w:rPr>
        <w:t xml:space="preserve">Прочитанные свойства. </w:t>
      </w:r>
      <w:r>
        <w:t>642–725 source absence, failure и нынешний fallback candidate при отсутствии champion</w:t>
      </w:r>
    </w:p>
    <w:p>
      <w:pPr/>
      <w:r>
        <w:t>Новый R9 governed-public trust draft находится в DECISION_RECORDS 4794–4802; утверждение об unkeyed index signature — OPEN_PREMISES 1189. Строк 4803–4804 в этом pin нет. Existing output-aware seam без потребления inspected synchronous runner — локальное source finding, не утверждение о всех runners.</w:t>
      </w:r>
    </w:p>
    <w:p>
      <w:pPr/>
      <w:r>
        <w:t>Некоторые data/reuse/performance observations происходят из явно датированных исторических probes и exported sources. Они использованы для counterexamples и требований, а не как доказательство нынешнего отсутствия реализации. Их актуальное covered caller set проверяется перед cutover. Новых численных speedup или quality результатов этот документ не сообщает.</w:t>
      </w:r>
    </w:p>
    <w:p>
      <w:pPr>
        <w:pStyle w:val="Heading2"/>
      </w:pPr>
      <w:r>
        <w:t>14.3 Внешние первичные источники</w:t>
      </w:r>
    </w:p>
    <w:p>
      <w:pPr/>
      <w:r>
        <w:t>Источники ниже поддерживают конкретные механизмы и научные различия. Они не устанавливают факт реализации в PolicyOS, не назначают владельца и не выбирают policy tolerance.</w:t>
      </w:r>
    </w:p>
    <w:p>
      <w:pPr>
        <w:pStyle w:val="ListBullet"/>
      </w:pPr>
      <w:r>
        <w:rPr>
          <w:b/>
        </w:rPr>
        <w:t>В1</w:t>
      </w:r>
      <w:r>
        <w:t xml:space="preserve"> </w:t>
      </w:r>
      <w:hyperlink r:id="rId10">
        <w:r>
          <w:rPr>
            <w:color w:val="24465E"/>
            <w:u w:val="single"/>
          </w:rPr>
          <w:t xml:space="preserve">RFC 8785 JSON Canonicalization Scheme</w:t>
        </w:r>
      </w:hyperlink>
      <w:r>
        <w:t xml:space="preserve"> и </w:t>
      </w:r>
      <w:hyperlink r:id="rId11">
        <w:r>
          <w:rPr>
            <w:color w:val="24465E"/>
            <w:u w:val="single"/>
          </w:rPr>
          <w:t xml:space="preserve">OCI descriptor specification</w:t>
        </w:r>
      </w:hyperlink>
      <w:r>
        <w:t xml:space="preserve"> — bytes, digest, descriptor и ограничения canonicalization</w:t>
      </w:r>
    </w:p>
    <w:p>
      <w:pPr>
        <w:pStyle w:val="ListBullet"/>
      </w:pPr>
      <w:r>
        <w:rPr>
          <w:b/>
        </w:rPr>
        <w:t>В2</w:t>
      </w:r>
      <w:r>
        <w:t xml:space="preserve"> </w:t>
      </w:r>
      <w:hyperlink r:id="rId12">
        <w:r>
          <w:rPr>
            <w:color w:val="24465E"/>
            <w:u w:val="single"/>
          </w:rPr>
          <w:t xml:space="preserve">SLSA build provenance</w:t>
        </w:r>
      </w:hyperlink>
      <w:r>
        <w:t xml:space="preserve"> и </w:t>
      </w:r>
      <w:hyperlink r:id="rId13">
        <w:r>
          <w:rPr>
            <w:color w:val="24465E"/>
            <w:u w:val="single"/>
          </w:rPr>
          <w:t xml:space="preserve">DSSE protocol</w:t>
        </w:r>
      </w:hyperlink>
      <w:r>
        <w:t xml:space="preserve"> — provenance и authenticated payload binding; существующий wire format автоматически не заменяется</w:t>
      </w:r>
    </w:p>
    <w:p>
      <w:pPr>
        <w:pStyle w:val="ListBullet"/>
      </w:pPr>
      <w:r>
        <w:rPr>
          <w:b/>
        </w:rPr>
        <w:t>В3</w:t>
      </w:r>
      <w:r>
        <w:t xml:space="preserve"> </w:t>
      </w:r>
      <w:hyperlink r:id="rId14">
        <w:r>
          <w:rPr>
            <w:color w:val="24465E"/>
            <w:u w:val="single"/>
          </w:rPr>
          <w:t xml:space="preserve">Online control of the familywise error rate</w:t>
        </w:r>
      </w:hyperlink>
      <w:r>
        <w:t xml:space="preserve"> и </w:t>
      </w:r>
      <w:hyperlink r:id="rId15">
        <w:r>
          <w:rPr>
            <w:color w:val="24465E"/>
            <w:u w:val="single"/>
          </w:rPr>
          <w:t xml:space="preserve">Time uniform nonparametric nonasymptotic confidence sequences</w:t>
        </w:r>
      </w:hyperlink>
      <w:r>
        <w:t xml:space="preserve"> — method-specific sequential guarantees и их assumptions</w:t>
      </w:r>
    </w:p>
    <w:p>
      <w:pPr>
        <w:pStyle w:val="ListBullet"/>
      </w:pPr>
      <w:r>
        <w:rPr>
          <w:b/>
        </w:rPr>
        <w:t>В4</w:t>
      </w:r>
      <w:r>
        <w:t xml:space="preserve"> </w:t>
      </w:r>
      <w:hyperlink r:id="rId16">
        <w:r>
          <w:rPr>
            <w:color w:val="24465E"/>
            <w:u w:val="single"/>
          </w:rPr>
          <w:t xml:space="preserve">SQLite transactions</w:t>
        </w:r>
      </w:hyperlink>
      <w:r>
        <w:t xml:space="preserve">, </w:t>
      </w:r>
      <w:hyperlink r:id="rId17">
        <w:r>
          <w:rPr>
            <w:color w:val="24465E"/>
            <w:u w:val="single"/>
          </w:rPr>
          <w:t xml:space="preserve">atomic commit</w:t>
        </w:r>
      </w:hyperlink>
      <w:r>
        <w:t xml:space="preserve">, </w:t>
      </w:r>
      <w:hyperlink r:id="rId18">
        <w:r>
          <w:rPr>
            <w:color w:val="24465E"/>
            <w:u w:val="single"/>
          </w:rPr>
          <w:t xml:space="preserve">WAL</w:t>
        </w:r>
      </w:hyperlink>
      <w:r>
        <w:t xml:space="preserve"> и </w:t>
      </w:r>
      <w:hyperlink r:id="rId19">
        <w:r>
          <w:rPr>
            <w:color w:val="24465E"/>
            <w:u w:val="single"/>
          </w:rPr>
          <w:t xml:space="preserve">appropriate uses</w:t>
        </w:r>
      </w:hyperlink>
      <w:r>
        <w:t xml:space="preserve"> — локальная transaction/durability граница; </w:t>
      </w:r>
      <w:hyperlink r:id="rId20">
        <w:r>
          <w:rPr>
            <w:color w:val="24465E"/>
            <w:u w:val="single"/>
          </w:rPr>
          <w:t xml:space="preserve">PostgreSQL isolation</w:t>
        </w:r>
      </w:hyperlink>
      <w:r>
        <w:t xml:space="preserve"> — возможная поздняя отдельная multi-host альтернатива</w:t>
      </w:r>
    </w:p>
    <w:p>
      <w:pPr>
        <w:pStyle w:val="ListBullet"/>
      </w:pPr>
      <w:r>
        <w:rPr>
          <w:b/>
        </w:rPr>
        <w:t>В5</w:t>
      </w:r>
      <w:r>
        <w:t xml:space="preserve"> </w:t>
      </w:r>
      <w:hyperlink r:id="rId21">
        <w:r>
          <w:rPr>
            <w:color w:val="24465E"/>
            <w:u w:val="single"/>
          </w:rPr>
          <w:t xml:space="preserve">AWS idempotent APIs</w:t>
        </w:r>
      </w:hyperlink>
      <w:r>
        <w:t xml:space="preserve"> и </w:t>
      </w:r>
      <w:hyperlink r:id="rId22">
        <w:r>
          <w:rPr>
            <w:color w:val="24465E"/>
            <w:u w:val="single"/>
          </w:rPr>
          <w:t xml:space="preserve">transactional outbox</w:t>
        </w:r>
      </w:hyperlink>
      <w:r>
        <w:t xml:space="preserve"> — intent identity, lost response и duplicate delivery; </w:t>
      </w:r>
      <w:hyperlink r:id="rId23">
        <w:r>
          <w:rPr>
            <w:color w:val="24465E"/>
            <w:u w:val="single"/>
          </w:rPr>
          <w:t xml:space="preserve">RFC 8693</w:t>
        </w:r>
      </w:hyperlink>
      <w:r>
        <w:t xml:space="preserve"> — audience/resource/scope различия</w:t>
      </w:r>
    </w:p>
    <w:p>
      <w:pPr>
        <w:pStyle w:val="ListBullet"/>
      </w:pPr>
      <w:r>
        <w:rPr>
          <w:b/>
        </w:rPr>
        <w:t>В6</w:t>
      </w:r>
      <w:r>
        <w:t xml:space="preserve"> </w:t>
      </w:r>
      <w:hyperlink r:id="rId24">
        <w:r>
          <w:rPr>
            <w:color w:val="24465E"/>
            <w:u w:val="single"/>
          </w:rPr>
          <w:t xml:space="preserve">Kubernetes chunked list API</w:t>
        </w:r>
      </w:hyperlink>
      <w:r>
        <w:t xml:space="preserve"> — пример snapshot-bound pagination с continuation и expiry; это не предложение внедрять Kubernetes</w:t>
      </w:r>
    </w:p>
    <w:p>
      <w:pPr>
        <w:pStyle w:val="ListBullet"/>
      </w:pPr>
      <w:r>
        <w:rPr>
          <w:b/>
        </w:rPr>
        <w:t>В7</w:t>
      </w:r>
      <w:r>
        <w:t xml:space="preserve"> </w:t>
      </w:r>
      <w:hyperlink r:id="rId25">
        <w:r>
          <w:rPr>
            <w:color w:val="24465E"/>
            <w:u w:val="single"/>
          </w:rPr>
          <w:t xml:space="preserve">Imbens and Manski Confidence Intervals for Partially Identified Parameters</w:t>
        </w:r>
      </w:hyperlink>
      <w:r>
        <w:t xml:space="preserve">, </w:t>
      </w:r>
      <w:hyperlink r:id="rId26">
        <w:r>
          <w:rPr>
            <w:color w:val="24465E"/>
            <w:u w:val="single"/>
          </w:rPr>
          <w:t xml:space="preserve">NIST confidence intervals</w:t>
        </w:r>
      </w:hyperlink>
      <w:r>
        <w:t xml:space="preserve">, </w:t>
      </w:r>
      <w:hyperlink r:id="rId27">
        <w:r>
          <w:rPr>
            <w:color w:val="24465E"/>
            <w:u w:val="single"/>
          </w:rPr>
          <w:t xml:space="preserve">Stan posterior analysis</w:t>
        </w:r>
      </w:hyperlink>
      <w:r>
        <w:t xml:space="preserve"> — identification, interval meaning и posterior summaries</w:t>
      </w:r>
    </w:p>
    <w:p>
      <w:pPr>
        <w:pStyle w:val="ListBullet"/>
      </w:pPr>
      <w:r>
        <w:rPr>
          <w:b/>
        </w:rPr>
        <w:t>В8</w:t>
      </w:r>
      <w:r>
        <w:t xml:space="preserve"> </w:t>
      </w:r>
      <w:hyperlink r:id="rId28">
        <w:r>
          <w:rPr>
            <w:color w:val="24465E"/>
            <w:u w:val="single"/>
          </w:rPr>
          <w:t xml:space="preserve">JCGM 101 Monte Carlo propagation of distributions</w:t>
        </w:r>
      </w:hyperlink>
      <w:r>
        <w:t xml:space="preserve"> и </w:t>
      </w:r>
      <w:hyperlink r:id="rId29">
        <w:r>
          <w:rPr>
            <w:color w:val="24465E"/>
            <w:u w:val="single"/>
          </w:rPr>
          <w:t xml:space="preserve">posterior draw arrays</w:t>
        </w:r>
      </w:hyperlink>
      <w:r>
        <w:t xml:space="preserve"> — joint input distribution, alignment и propagation</w:t>
      </w:r>
    </w:p>
    <w:p>
      <w:pPr>
        <w:pStyle w:val="ListBullet"/>
      </w:pPr>
      <w:r>
        <w:rPr>
          <w:b/>
        </w:rPr>
        <w:t>В9</w:t>
      </w:r>
      <w:r>
        <w:t xml:space="preserve"> </w:t>
      </w:r>
      <w:hyperlink r:id="rId30">
        <w:r>
          <w:rPr>
            <w:color w:val="24465E"/>
            <w:u w:val="single"/>
          </w:rPr>
          <w:t xml:space="preserve">FRED real time periods</w:t>
        </w:r>
      </w:hyperlink>
      <w:r>
        <w:t xml:space="preserve"> и </w:t>
      </w:r>
      <w:hyperlink r:id="rId31">
        <w:r>
          <w:rPr>
            <w:color w:val="24465E"/>
            <w:u w:val="single"/>
          </w:rPr>
          <w:t xml:space="preserve">World Bank API features</w:t>
        </w:r>
      </w:hyperlink>
      <w:r>
        <w:t xml:space="preserve"> — observation versus vintage/source metadata</w:t>
      </w:r>
    </w:p>
    <w:p>
      <w:pPr>
        <w:pStyle w:val="ListBullet"/>
      </w:pPr>
      <w:r>
        <w:rPr>
          <w:b/>
        </w:rPr>
        <w:t>В10</w:t>
      </w:r>
      <w:r>
        <w:t xml:space="preserve"> </w:t>
      </w:r>
      <w:hyperlink r:id="rId32">
        <w:r>
          <w:rPr>
            <w:color w:val="24465E"/>
            <w:u w:val="single"/>
          </w:rPr>
          <w:t xml:space="preserve">World Bank country API queries</w:t>
        </w:r>
      </w:hyperlink>
      <w:r>
        <w:t xml:space="preserve"> — country codes и собственные fallback values</w:t>
      </w:r>
    </w:p>
    <w:p>
      <w:pPr>
        <w:pStyle w:val="ListBullet"/>
      </w:pPr>
      <w:r>
        <w:rPr>
          <w:b/>
        </w:rPr>
        <w:t>В11</w:t>
      </w:r>
      <w:r>
        <w:t xml:space="preserve"> </w:t>
      </w:r>
      <w:hyperlink r:id="rId33">
        <w:r>
          <w:rPr>
            <w:color w:val="24465E"/>
            <w:u w:val="single"/>
          </w:rPr>
          <w:t xml:space="preserve">DuckDB full text search</w:t>
        </w:r>
      </w:hyperlink>
      <w:r>
        <w:t xml:space="preserve"> и </w:t>
      </w:r>
      <w:hyperlink r:id="rId34">
        <w:r>
          <w:rPr>
            <w:color w:val="24465E"/>
            <w:u w:val="single"/>
          </w:rPr>
          <w:t xml:space="preserve">Lucene BM25Similarity</w:t>
        </w:r>
      </w:hyperlink>
      <w:r>
        <w:t xml:space="preserve"> — refresh и engine-specific ranking semantics</w:t>
      </w:r>
    </w:p>
    <w:p>
      <w:pPr>
        <w:pStyle w:val="ListBullet"/>
      </w:pPr>
      <w:r>
        <w:rPr>
          <w:b/>
        </w:rPr>
        <w:t>В12</w:t>
      </w:r>
      <w:r>
        <w:t xml:space="preserve"> </w:t>
      </w:r>
      <w:hyperlink r:id="rId35">
        <w:r>
          <w:rPr>
            <w:color w:val="24465E"/>
            <w:u w:val="single"/>
          </w:rPr>
          <w:t xml:space="preserve">Time series cross validation</w:t>
        </w:r>
      </w:hyperlink>
      <w:r>
        <w:t xml:space="preserve">, </w:t>
      </w:r>
      <w:hyperlink r:id="rId36">
        <w:r>
          <w:rPr>
            <w:color w:val="24465E"/>
            <w:u w:val="single"/>
          </w:rPr>
          <w:t xml:space="preserve">forecast accuracy</w:t>
        </w:r>
      </w:hyperlink>
      <w:r>
        <w:t xml:space="preserve">, </w:t>
      </w:r>
      <w:hyperlink r:id="rId37">
        <w:r>
          <w:rPr>
            <w:color w:val="24465E"/>
            <w:u w:val="single"/>
          </w:rPr>
          <w:t xml:space="preserve">Strictly proper scoring rules</w:t>
        </w:r>
      </w:hyperlink>
      <w:r>
        <w:t xml:space="preserve"> и </w:t>
      </w:r>
      <w:hyperlink r:id="rId38">
        <w:r>
          <w:rPr>
            <w:color w:val="24465E"/>
            <w:u w:val="single"/>
          </w:rPr>
          <w:t xml:space="preserve">adaptive holdout research</w:t>
        </w:r>
      </w:hyperlink>
      <w:r>
        <w:t xml:space="preserve"> — scoring targets, information sets и reusable validation assumptions</w:t>
      </w:r>
    </w:p>
    <w:p>
      <w:pPr>
        <w:pStyle w:val="ListBullet"/>
      </w:pPr>
      <w:r>
        <w:rPr>
          <w:b/>
        </w:rPr>
        <w:t>В13</w:t>
      </w:r>
      <w:r>
        <w:t xml:space="preserve"> </w:t>
      </w:r>
      <w:hyperlink r:id="rId39">
        <w:r>
          <w:rPr>
            <w:color w:val="24465E"/>
            <w:u w:val="single"/>
          </w:rPr>
          <w:t xml:space="preserve">Robust data driven inference in regression discontinuity designs</w:t>
        </w:r>
      </w:hyperlink>
      <w:r>
        <w:t xml:space="preserve"> — отдельные estimator и inference requirements для robust bias correction</w:t>
      </w:r>
    </w:p>
    <w:p>
      <w:pPr>
        <w:pStyle w:val="ListBullet"/>
      </w:pPr>
      <w:r>
        <w:rPr>
          <w:b/>
        </w:rPr>
        <w:t>В14</w:t>
      </w:r>
      <w:r>
        <w:t xml:space="preserve"> </w:t>
      </w:r>
      <w:hyperlink r:id="rId40">
        <w:r>
          <w:rPr>
            <w:color w:val="24465E"/>
            <w:u w:val="single"/>
          </w:rPr>
          <w:t xml:space="preserve">PyPA dependency specifiers</w:t>
        </w:r>
      </w:hyperlink>
      <w:r>
        <w:t xml:space="preserve"> — environment markers, extras и target-dependent dependency closure</w:t>
      </w:r>
    </w:p>
    <w:p>
      <w:pPr>
        <w:pStyle w:val="ListBullet"/>
      </w:pPr>
      <w:r>
        <w:rPr>
          <w:b/>
        </w:rPr>
        <w:t>В15</w:t>
      </w:r>
      <w:r>
        <w:t xml:space="preserve"> </w:t>
      </w:r>
      <w:hyperlink r:id="rId41">
        <w:r>
          <w:rPr>
            <w:color w:val="24465E"/>
            <w:u w:val="single"/>
          </w:rPr>
          <w:t xml:space="preserve">NumPy parallel random streams</w:t>
        </w:r>
      </w:hyperlink>
      <w:r>
        <w:t xml:space="preserve"> и </w:t>
      </w:r>
      <w:hyperlink r:id="rId42">
        <w:r>
          <w:rPr>
            <w:color w:val="24465E"/>
            <w:u w:val="single"/>
          </w:rPr>
          <w:t xml:space="preserve">Stan posterior MCSE</w:t>
        </w:r>
      </w:hyperlink>
      <w:r>
        <w:t xml:space="preserve"> — stream derivation и method-specific computational precision</w:t>
      </w:r>
    </w:p>
    <w:p>
      <w:pPr>
        <w:pStyle w:val="ListBullet"/>
      </w:pPr>
      <w:r>
        <w:rPr>
          <w:b/>
        </w:rPr>
        <w:t>В16</w:t>
      </w:r>
      <w:r>
        <w:t xml:space="preserve"> </w:t>
      </w:r>
      <w:hyperlink r:id="rId43">
        <w:r>
          <w:rPr>
            <w:color w:val="24465E"/>
            <w:u w:val="single"/>
          </w:rPr>
          <w:t xml:space="preserve">Amortized Bayesian Experimental Design for Decision Making</w:t>
        </w:r>
      </w:hyperlink>
      <w:r>
        <w:t xml:space="preserve"> и </w:t>
      </w:r>
      <w:hyperlink r:id="rId44">
        <w:r>
          <w:rPr>
            <w:color w:val="24465E"/>
            <w:u w:val="single"/>
          </w:rPr>
          <w:t xml:space="preserve">Bayesian Inference and Optimal Design for the Sparse Linear Model</w:t>
        </w:r>
      </w:hyperlink>
      <w:r>
        <w:t xml:space="preserve"> — различие information gain и downstream decision utility; их алгоритмы не являются обязательной новой подсистемой</w:t>
      </w:r>
    </w:p>
    <w:p>
      <w:pPr>
        <w:pStyle w:val="Heading1"/>
      </w:pPr>
      <w:bookmarkStart w:id="61" w:name="section_15"/>
      <w:r>
        <w:t>Заключение</w:t>
      </w:r>
      <w:bookmarkEnd w:id="61"/>
    </w:p>
    <w:p>
      <w:pPr>
        <w:keepNext/>
        <w:keepLines/>
      </w:pPr>
      <w:r>
        <w:t>Целевая архитектура сохраняет небольшое число чётких инвариантов: точное evidence, типизированный смысл, явный владелец, риск до exposure, один локальный порядок protected admission и повторная проверка при использовании. Всё остальное вводится только ради конкретного поддерживаемого потребителя.</w:t>
      </w:r>
    </w:p>
    <w:p>
      <w:pPr>
        <w:keepLines/>
      </w:pPr>
      <w:r>
        <w:t>Это позволяет удалить ненужную совместимость, пересобрать disposable state и оставить исследовательский контур полезным уже сейчас. Одновременно E02 получает полный контракт защищённого пути и проверяемый план его реализации. Следующее решение Дениса — принять или изменить рекомендованные choices и назвать первый реальный научный/protected scope; следующее действие исполнителя — реализовать согласованный target и предъявить соответствующие receipts.</w:t>
      </w:r>
    </w:p>
    <w:sectPr w:rsidR="00FC693F" w:rsidRPr="0006063C" w:rsidSect="00034616">
      <w:footerReference w:type="default" r:id="rId9"/>
      <w:pgSz w:w="12240" w:h="15840"/>
      <w:pgMar w:top="1008" w:right="1181" w:bottom="1008"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58616B"/>
        <w:sz w:val="18"/>
      </w:rPr>
      <w:t xml:space="preserve">PolicyOS E02  ·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6" w:lineRule="exact"/>
    </w:pPr>
    <w:rPr>
      <w:rFonts w:ascii="Noto Sans" w:hAnsi="Noto Sans" w:eastAsia="Noto Sans" w:cs="Noto Sans"/>
      <w:b w:val="0"/>
      <w:i w:val="0"/>
      <w:color w:val="171B20"/>
      <w:sz w:val="22"/>
      <w:lang w:val="ru-RU"/>
      <w:spacing w:val="0"/>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00" w:after="200" w:line="420" w:lineRule="exact"/>
      <w:outlineLvl w:val="0"/>
    </w:pPr>
    <w:rPr>
      <w:rFonts w:ascii="Noto Sans" w:hAnsi="Noto Sans" w:eastAsia="Noto Sans" w:cs="Noto Sans"/>
      <w:b/>
      <w:bCs/>
      <w:i w:val="0"/>
      <w:sz w:val="34"/>
      <w:szCs w:val="28"/>
      <w:lang w:val="ru-RU"/>
      <w:color w:val="000000"/>
      <w:spacing w:val="0"/>
    </w:rPr>
  </w:style>
  <w:style w:type="paragraph" w:styleId="Heading2">
    <w:name w:val="heading 2"/>
    <w:basedOn w:val="Normal"/>
    <w:next w:val="Normal"/>
    <w:link w:val="Heading2Char"/>
    <w:uiPriority w:val="9"/>
    <w:unhideWhenUsed/>
    <w:qFormat/>
    <w:rsid w:val="00FC693F"/>
    <w:pPr>
      <w:keepNext/>
      <w:keepLines/>
      <w:widowControl/>
      <w:spacing w:before="300" w:after="140" w:line="340" w:lineRule="exact"/>
      <w:outlineLvl w:val="1"/>
    </w:pPr>
    <w:rPr>
      <w:rFonts w:ascii="Noto Sans" w:hAnsi="Noto Sans" w:eastAsia="Noto Sans" w:cs="Noto Sans"/>
      <w:b/>
      <w:bCs/>
      <w:i w:val="0"/>
      <w:sz w:val="26"/>
      <w:szCs w:val="26"/>
      <w:lang w:val="ru-RU"/>
      <w:color w:val="000000"/>
      <w:spacing w:val="0"/>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exact"/>
      <w:outlineLvl w:val="2"/>
    </w:pPr>
    <w:rPr>
      <w:rFonts w:ascii="Noto Sans" w:hAnsi="Noto Sans" w:eastAsia="Noto Sans" w:cs="Noto Sans"/>
      <w:b/>
      <w:bCs/>
      <w:i w:val="0"/>
      <w:sz w:val="22"/>
      <w:lang w:val="ru-RU"/>
      <w:color w:val="000000"/>
      <w:spacing w:val="0"/>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20" w:line="600" w:lineRule="exact" w:before="0"/>
      <w:contextualSpacing/>
    </w:pPr>
    <w:rPr>
      <w:rFonts w:ascii="Noto Sans" w:hAnsi="Noto Sans" w:eastAsia="Noto Sans" w:cs="Noto Sans"/>
      <w:b w:val="0"/>
      <w:i w:val="0"/>
      <w:kern w:val="28"/>
      <w:sz w:val="50"/>
      <w:szCs w:val="52"/>
      <w:lang w:val="ru-RU"/>
      <w:color w:val="000000"/>
      <w:spacing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20" w:line="300" w:lineRule="exact"/>
    </w:pPr>
    <w:rPr>
      <w:rFonts w:ascii="Noto Sans" w:hAnsi="Noto Sans" w:eastAsia="Noto Sans" w:cs="Noto Sans"/>
      <w:b w:val="0"/>
      <w:i w:val="0"/>
      <w:iCs/>
      <w:sz w:val="22"/>
      <w:szCs w:val="24"/>
      <w:lang w:val="ru-RU"/>
      <w:color w:val="000000"/>
      <w:spacing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spacing w:after="80" w:line="286" w:lineRule="exact"/>
      <w:ind w:left="245" w:hanging="245"/>
      <w:contextualSpacing/>
    </w:pPr>
    <w:rPr>
      <w:rFonts w:ascii="Noto Sans" w:hAnsi="Noto Sans" w:eastAsia="Noto Sans" w:cs="Noto Sans"/>
      <w:b w:val="0"/>
      <w:i w:val="0"/>
      <w:color w:val="171B20"/>
      <w:sz w:val="22"/>
      <w:lang w:val="ru-RU"/>
      <w:spacing w:val="0"/>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spacing w:after="80" w:line="286" w:lineRule="exact"/>
      <w:ind w:left="245" w:hanging="245"/>
      <w:contextualSpacing/>
    </w:pPr>
    <w:rPr>
      <w:rFonts w:ascii="Noto Sans" w:hAnsi="Noto Sans" w:eastAsia="Noto Sans" w:cs="Noto Sans"/>
      <w:b w:val="0"/>
      <w:i w:val="0"/>
      <w:color w:val="171B20"/>
      <w:sz w:val="22"/>
      <w:lang w:val="ru-RU"/>
      <w:spacing w:val="0"/>
    </w:r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vigation">
    <w:name w:val="Navigation"/>
    <w:basedOn w:val="Normal"/>
    <w:pPr>
      <w:spacing w:after="140" w:line="300" w:lineRule="exact"/>
    </w:pPr>
    <w:rPr>
      <w:rFonts w:ascii="Noto Sans" w:hAnsi="Noto Sans" w:eastAsia="Noto Sans" w:cs="Noto Sans"/>
      <w:b w:val="0"/>
      <w:i w:val="0"/>
      <w:color w:val="171B20"/>
      <w:sz w:val="22"/>
      <w:lang w:val="ru-RU"/>
      <w:spacing w:val="0"/>
    </w:rPr>
  </w:style>
  <w:style w:type="paragraph" w:customStyle="1" w:styleId="TableBody">
    <w:name w:val="Table Body"/>
    <w:basedOn w:val="Normal"/>
    <w:pPr>
      <w:spacing w:after="40" w:line="264" w:lineRule="exact"/>
    </w:pPr>
    <w:rPr>
      <w:rFonts w:ascii="Noto Sans" w:hAnsi="Noto Sans" w:eastAsia="Noto Sans" w:cs="Noto Sans"/>
      <w:b w:val="0"/>
      <w:i w:val="0"/>
      <w:color w:val="171B20"/>
      <w:sz w:val="20"/>
      <w:lang w:val="ru-RU"/>
      <w:spacing w:val="0"/>
    </w:rPr>
  </w:style>
  <w:style w:type="paragraph" w:customStyle="1" w:styleId="SourceRecord">
    <w:name w:val="Source Record"/>
    <w:basedOn w:val="Normal"/>
    <w:rPr>
      <w:rFonts w:ascii="Noto Sans" w:hAnsi="Noto Sans" w:eastAsia="Noto Sans" w:cs="Noto Sans"/>
      <w:b w:val="0"/>
      <w:i w:val="0"/>
      <w:color w:val="171B20"/>
      <w:sz w:val="21"/>
      <w:lang w:val="ru-RU"/>
      <w:spacing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fc-editor.org/rfc/rfc8785.html" TargetMode="External"/><Relationship Id="rId11" Type="http://schemas.openxmlformats.org/officeDocument/2006/relationships/hyperlink" Target="https://specs.opencontainers.org/image-spec/descriptor/" TargetMode="External"/><Relationship Id="rId12" Type="http://schemas.openxmlformats.org/officeDocument/2006/relationships/hyperlink" Target="https://slsa.dev/spec/v1.2/build-provenance" TargetMode="External"/><Relationship Id="rId13" Type="http://schemas.openxmlformats.org/officeDocument/2006/relationships/hyperlink" Target="https://github.com/secure-systems-lab/dsse/blob/master/protocol.md" TargetMode="External"/><Relationship Id="rId14" Type="http://schemas.openxmlformats.org/officeDocument/2006/relationships/hyperlink" Target="https://arxiv.org/abs/1910.04900" TargetMode="External"/><Relationship Id="rId15" Type="http://schemas.openxmlformats.org/officeDocument/2006/relationships/hyperlink" Target="https://arxiv.org/abs/1810.08240" TargetMode="External"/><Relationship Id="rId16" Type="http://schemas.openxmlformats.org/officeDocument/2006/relationships/hyperlink" Target="https://www.sqlite.org/lang_transaction.html" TargetMode="External"/><Relationship Id="rId17" Type="http://schemas.openxmlformats.org/officeDocument/2006/relationships/hyperlink" Target="https://www.sqlite.org/atomiccommit.html" TargetMode="External"/><Relationship Id="rId18" Type="http://schemas.openxmlformats.org/officeDocument/2006/relationships/hyperlink" Target="https://www.sqlite.org/wal.html" TargetMode="External"/><Relationship Id="rId19" Type="http://schemas.openxmlformats.org/officeDocument/2006/relationships/hyperlink" Target="https://www.sqlite.org/whentouse.html" TargetMode="External"/><Relationship Id="rId20" Type="http://schemas.openxmlformats.org/officeDocument/2006/relationships/hyperlink" Target="https://www.postgresql.org/docs/current/transaction-iso.html" TargetMode="External"/><Relationship Id="rId21" Type="http://schemas.openxmlformats.org/officeDocument/2006/relationships/hyperlink" Target="https://aws.amazon.com/builders-library/making-retries-safe-with-idempotent-APIs/" TargetMode="External"/><Relationship Id="rId22" Type="http://schemas.openxmlformats.org/officeDocument/2006/relationships/hyperlink" Target="https://docs.aws.amazon.com/prescriptive-guidance/latest/cloud-design-patterns/transactional-outbox.html" TargetMode="External"/><Relationship Id="rId23" Type="http://schemas.openxmlformats.org/officeDocument/2006/relationships/hyperlink" Target="https://www.rfc-editor.org/rfc/rfc8693.html#section-2.1.1" TargetMode="External"/><Relationship Id="rId24" Type="http://schemas.openxmlformats.org/officeDocument/2006/relationships/hyperlink" Target="https://kubernetes.io/docs/reference/using-api/api-concepts/#retrieving-large-results-sets-in-chunks" TargetMode="External"/><Relationship Id="rId25" Type="http://schemas.openxmlformats.org/officeDocument/2006/relationships/hyperlink" Target="https://doi.org/10.1111/j.1468-0262.2004.00555.x" TargetMode="External"/><Relationship Id="rId26" Type="http://schemas.openxmlformats.org/officeDocument/2006/relationships/hyperlink" Target="https://www.itl.nist.gov/div898/handbook/prc/section1/prc14.htm" TargetMode="External"/><Relationship Id="rId27" Type="http://schemas.openxmlformats.org/officeDocument/2006/relationships/hyperlink" Target="https://mc-stan.org/docs/reference-manual/analysis.html" TargetMode="External"/><Relationship Id="rId28" Type="http://schemas.openxmlformats.org/officeDocument/2006/relationships/hyperlink" Target="https://doi.org/10.59161/JCGM101-2008" TargetMode="External"/><Relationship Id="rId29" Type="http://schemas.openxmlformats.org/officeDocument/2006/relationships/hyperlink" Target="https://mc-stan.org/posterior/reference/draws_array.html" TargetMode="External"/><Relationship Id="rId30" Type="http://schemas.openxmlformats.org/officeDocument/2006/relationships/hyperlink" Target="https://fred.stlouisfed.org/docs/api/fred/realtime_period.html" TargetMode="External"/><Relationship Id="rId31" Type="http://schemas.openxmlformats.org/officeDocument/2006/relationships/hyperlink" Target="https://datahelpdesk.worldbank.org/knowledgebase/articles/1886674-new-features-and-enhancements-in-the-v2-api" TargetMode="External"/><Relationship Id="rId32" Type="http://schemas.openxmlformats.org/officeDocument/2006/relationships/hyperlink" Target="https://datahelpdesk.worldbank.org/knowledgebase/articles/898590-country-api-queries" TargetMode="External"/><Relationship Id="rId33" Type="http://schemas.openxmlformats.org/officeDocument/2006/relationships/hyperlink" Target="https://duckdb.org/docs/lts/core_extensions/full_text_search" TargetMode="External"/><Relationship Id="rId34" Type="http://schemas.openxmlformats.org/officeDocument/2006/relationships/hyperlink" Target="https://lucene.apache.org/core/9_12_1/core/org/apache/lucene/search/similarities/BM25Similarity.html" TargetMode="External"/><Relationship Id="rId35" Type="http://schemas.openxmlformats.org/officeDocument/2006/relationships/hyperlink" Target="https://otexts.com/fpp3/tscv.html" TargetMode="External"/><Relationship Id="rId36" Type="http://schemas.openxmlformats.org/officeDocument/2006/relationships/hyperlink" Target="https://otexts.com/fpp3/accuracy.html" TargetMode="External"/><Relationship Id="rId37" Type="http://schemas.openxmlformats.org/officeDocument/2006/relationships/hyperlink" Target="https://doi.org/10.1198/016214506000001437" TargetMode="External"/><Relationship Id="rId38" Type="http://schemas.openxmlformats.org/officeDocument/2006/relationships/hyperlink" Target="https://arxiv.org/abs/1506.02629" TargetMode="External"/><Relationship Id="rId39" Type="http://schemas.openxmlformats.org/officeDocument/2006/relationships/hyperlink" Target="https://journal.r-project.org/articles/RJ-2015-004/" TargetMode="External"/><Relationship Id="rId40" Type="http://schemas.openxmlformats.org/officeDocument/2006/relationships/hyperlink" Target="https://packaging.python.org/en/latest/specifications/dependency-specifiers/" TargetMode="External"/><Relationship Id="rId41" Type="http://schemas.openxmlformats.org/officeDocument/2006/relationships/hyperlink" Target="https://numpy.org/doc/stable/reference/random/parallel.html" TargetMode="External"/><Relationship Id="rId42" Type="http://schemas.openxmlformats.org/officeDocument/2006/relationships/hyperlink" Target="https://mc-stan.org/posterior/reference/mcse_mean.html" TargetMode="External"/><Relationship Id="rId43" Type="http://schemas.openxmlformats.org/officeDocument/2006/relationships/hyperlink" Target="https://papers.nips.cc/paper/2024/file/c59f05d7ab3638b138cc61f32e1a7cd1-Paper-Conference.pdf" TargetMode="External"/><Relationship Id="rId44" Type="http://schemas.openxmlformats.org/officeDocument/2006/relationships/hyperlink" Target="https://jmlr.csail.mit.edu/papers/volume9/seeger08a/seeger08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PolicyOS E02 Архитектурные решения и контракты</dc:title>
  <dc:subject>Архитектурные рекомендации и контракты для рассмотрения и последующей реализации E02</dc:subject>
  <dc:creator/>
  <cp:keywords>PolicyOS, E02, architecture, contracts</cp:keywords>
  <dc:description>generated by python-docx</dc:description>
  <cp:lastModifiedBy/>
  <cp:revision>1</cp:revision>
  <dcterms:created xsi:type="dcterms:W3CDTF">2013-12-23T23:15:00Z</dcterms:created>
  <dcterms:modified xsi:type="dcterms:W3CDTF">2013-12-23T23:15:00Z</dcterms:modified>
  <cp:category/>
</cp:coreProperties>
</file>