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Справка. Компоненты выручки AdTech и отчёты, в которые они входят</w:t>
      </w:r>
    </w:p>
    <w:p>
      <w:r>
        <w:rPr>
          <w:i w:val="0"/>
          <w:color w:val="7F7F7F"/>
          <w:sz w:val="18"/>
        </w:rPr>
        <w:t>9 мес. 2026 г., млн руб. без НДС</w:t>
      </w:r>
    </w:p>
    <w:p>
      <w:r>
        <w:rPr>
          <w:i w:val="0"/>
        </w:rPr>
        <w:t>Выручка AdTech складывается из четырёх компонентов: доходы Реальных направлений AdTech, поставщики М+, 1С и доходы на РН других направлений. Отчёты включают разные наборы этих компонентов и часть из них строится по данным УО, поэтому итоги за один период различаются. В таблице показано, какие компоненты входят в каждый отчёт; ниже — как формируется итог каждого отчёта.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4195"/>
        <w:gridCol w:w="1134"/>
        <w:gridCol w:w="1701"/>
        <w:gridCol w:w="2041"/>
        <w:gridCol w:w="1928"/>
        <w:gridCol w:w="1928"/>
        <w:gridCol w:w="1928"/>
      </w:tblGrid>
      <w:tr>
        <w:trPr>
          <w:tblHeader w:val="true"/>
        </w:trPr>
        <w:tc>
          <w:tcPr>
            <w:tcW w:type="dxa" w:w="4195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9 мес. 2026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Корпоративный P&amp;L AdTech</w:t>
            </w:r>
          </w:p>
        </w:tc>
        <w:tc>
          <w:tcPr>
            <w:tcW w:type="dxa" w:w="2041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Мастер-файл: BiP (Rev)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Мастер-файл: управленческий P&amp;L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Mads Commercial (Д. Ардаширов)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8"/>
              </w:rPr>
              <w:t>КПЭ сотрудников (ежеквартально)</w:t>
            </w:r>
          </w:p>
        </w:tc>
      </w:tr>
      <w:tr>
        <w:trPr>
          <w:cantSplit/>
        </w:trPr>
        <w:tc>
          <w:tcPr>
            <w:tcW w:type="dxa" w:w="4195"/>
            <w:vAlign w:val="top"/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Реальные направления AdTech: БиП на РН AdTech без поставщиков М+</w:t>
            </w:r>
            <w:r>
              <w:rPr>
                <w:color w:val="7F7F7F"/>
                <w:sz w:val="16"/>
              </w:rPr>
              <w:br/>
              <w:t>«Сплит доходов», стр. 6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5 359,1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✓*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✓*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✓*</w:t>
            </w:r>
          </w:p>
        </w:tc>
      </w:tr>
      <w:tr>
        <w:trPr>
          <w:cantSplit/>
        </w:trPr>
        <w:tc>
          <w:tcPr>
            <w:tcW w:type="dxa" w:w="4195"/>
            <w:vAlign w:val="top"/>
          </w:tcPr>
          <w:p>
            <w:pPr>
              <w:spacing w:after="0"/>
              <w:ind w:left="227"/>
              <w:jc w:val="left"/>
            </w:pPr>
            <w:r>
              <w:rPr>
                <w:b w:val="0"/>
                <w:sz w:val="18"/>
              </w:rPr>
              <w:t>в т.ч. E-com (E-Commerce_Adtech, включая РА и «условное»)</w:t>
            </w:r>
            <w:r>
              <w:rPr>
                <w:color w:val="7F7F7F"/>
                <w:sz w:val="16"/>
              </w:rPr>
              <w:br/>
              <w:t>«Сплит доходов», стр. 14–17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3 204,8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 сегменты E-com, выгрузка «E-Com FC»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✓* строка APP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✓*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✓*</w:t>
            </w:r>
          </w:p>
        </w:tc>
      </w:tr>
      <w:tr>
        <w:trPr>
          <w:cantSplit/>
        </w:trPr>
        <w:tc>
          <w:tcPr>
            <w:tcW w:type="dxa" w:w="4195"/>
            <w:vAlign w:val="top"/>
          </w:tcPr>
          <w:p>
            <w:pPr>
              <w:spacing w:after="0"/>
              <w:ind w:left="227"/>
              <w:jc w:val="left"/>
            </w:pPr>
            <w:r>
              <w:rPr>
                <w:b w:val="0"/>
                <w:sz w:val="18"/>
              </w:rPr>
              <w:t>в т.ч. не E-com (Реклама и продвижение, Прочее, Лояльность М+ на РН AdTech)</w:t>
            </w:r>
            <w:r>
              <w:rPr>
                <w:color w:val="7F7F7F"/>
                <w:sz w:val="16"/>
              </w:rPr>
              <w:br/>
              <w:t>«Сплит доходов», стр. 7–13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2 154,3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 инкремент без E-comm → свод для консолидации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✓*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✓*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✓*</w:t>
            </w:r>
          </w:p>
        </w:tc>
      </w:tr>
      <w:tr>
        <w:trPr>
          <w:cantSplit/>
        </w:trPr>
        <w:tc>
          <w:tcPr>
            <w:tcW w:type="dxa" w:w="4195"/>
            <w:vAlign w:val="top"/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Поставщики М+: БиП на РН AdTech (с апреля)</w:t>
            </w:r>
            <w:r>
              <w:rPr>
                <w:color w:val="7F7F7F"/>
                <w:sz w:val="16"/>
              </w:rPr>
              <w:br/>
              <w:t>«Сплит доходов», стр. 18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995,7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✓*</w:t>
            </w:r>
          </w:p>
        </w:tc>
      </w:tr>
      <w:tr>
        <w:trPr>
          <w:cantSplit/>
        </w:trPr>
        <w:tc>
          <w:tcPr>
            <w:tcW w:type="dxa" w:w="4195"/>
            <w:vAlign w:val="top"/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1С: услуги лояльности (банки, партнёры), реклама непоставщикам, размещение на сайте</w:t>
            </w:r>
            <w:r>
              <w:rPr>
                <w:color w:val="7F7F7F"/>
                <w:sz w:val="16"/>
              </w:rPr>
              <w:br/>
              <w:t>«Сплит доходов», стр. 28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274,0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✓* кроме М+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✓*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✓*</w:t>
            </w:r>
          </w:p>
        </w:tc>
      </w:tr>
      <w:tr>
        <w:trPr>
          <w:cantSplit/>
        </w:trPr>
        <w:tc>
          <w:tcPr>
            <w:tcW w:type="dxa" w:w="4195"/>
            <w:vAlign w:val="top"/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Доходы на не-AdTech РН: сделки на РН других направлений по данным ДО AdTech</w:t>
            </w:r>
            <w:r>
              <w:rPr>
                <w:color w:val="7F7F7F"/>
                <w:sz w:val="16"/>
              </w:rPr>
              <w:br/>
              <w:t>«Сплит доходов», стр. 33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1 267,7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✓* кроме М+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✓*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195"/>
            <w:vAlign w:val="top"/>
          </w:tcPr>
          <w:p>
            <w:pPr>
              <w:spacing w:after="0"/>
              <w:ind w:left="227"/>
              <w:jc w:val="left"/>
            </w:pPr>
            <w:r>
              <w:rPr>
                <w:b w:val="0"/>
                <w:sz w:val="18"/>
              </w:rPr>
              <w:t>в т.ч. М+</w:t>
            </w:r>
            <w:r>
              <w:rPr>
                <w:color w:val="7F7F7F"/>
                <w:sz w:val="16"/>
              </w:rPr>
              <w:br/>
              <w:t>«Сплит доходов», стр. 36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  <w:jc w:val="right"/>
            </w:pPr>
            <w:r>
              <w:rPr>
                <w:b w:val="0"/>
                <w:sz w:val="18"/>
              </w:rPr>
              <w:t>333,1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4195"/>
            <w:vAlign w:val="top"/>
            <w:shd w:val="clear" w:color="auto" w:fill="F2F2F2"/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Итого в отчёте</w:t>
            </w:r>
          </w:p>
        </w:tc>
        <w:tc>
          <w:tcPr>
            <w:tcW w:type="dxa" w:w="1134"/>
            <w:vAlign w:val="top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7 896,5</w:t>
            </w:r>
          </w:p>
        </w:tc>
        <w:tc>
          <w:tcPr>
            <w:tcW w:type="dxa" w:w="1701"/>
            <w:vAlign w:val="top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6 628,8</w:t>
            </w:r>
          </w:p>
        </w:tc>
        <w:tc>
          <w:tcPr>
            <w:tcW w:type="dxa" w:w="2041"/>
            <w:vAlign w:val="top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6 357,9</w:t>
            </w:r>
          </w:p>
        </w:tc>
        <w:tc>
          <w:tcPr>
            <w:tcW w:type="dxa" w:w="1928"/>
            <w:vAlign w:val="top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6 718,4</w:t>
            </w:r>
          </w:p>
        </w:tc>
        <w:tc>
          <w:tcPr>
            <w:tcW w:type="dxa" w:w="1928"/>
            <w:vAlign w:val="top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6 783,9</w:t>
            </w:r>
          </w:p>
        </w:tc>
        <w:tc>
          <w:tcPr>
            <w:tcW w:type="dxa" w:w="1928"/>
            <w:vAlign w:val="top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b/>
                <w:sz w:val="18"/>
              </w:rPr>
              <w:t>3 142,7 (Q3)</w:t>
            </w:r>
          </w:p>
        </w:tc>
      </w:tr>
    </w:tbl>
    <w:p>
      <w:r>
        <w:rPr>
          <w:i w:val="0"/>
          <w:color w:val="7F7F7F"/>
          <w:sz w:val="17"/>
        </w:rPr>
        <w:t>✓ — компонент входит в отчёт; ✓* — входит, но отчёт строится по данным УО (примечание 1); «—» — не входит. Номера строк — по листу «Сплит доходов» файла «Доходы AdTech_9м2026».</w:t>
      </w:r>
    </w:p>
    <w:p>
      <w:pPr>
        <w:pStyle w:val="Heading1"/>
      </w:pPr>
      <w:r>
        <w:t>Как формируется итог каждого отчёта</w:t>
      </w:r>
    </w:p>
    <w:p>
      <w:pPr>
        <w:pStyle w:val="ListBullet"/>
        <w:spacing w:after="60"/>
      </w:pPr>
      <w:r>
        <w:rPr>
          <w:b/>
        </w:rPr>
        <w:t xml:space="preserve">Корпоративный P&amp;L AdTech (портал корпоративной отчётности) — 6 628,8. </w:t>
      </w:r>
      <w:r>
        <w:rPr>
          <w:i w:val="0"/>
        </w:rPr>
        <w:t>БиП на РН AdTech (Реальные направления AdTech и поставщики М+) + 1С по листу «PL AdTech». Доходы на не-AdTech РН не входят.</w:t>
      </w:r>
    </w:p>
    <w:p>
      <w:pPr>
        <w:pStyle w:val="ListBullet"/>
        <w:spacing w:after="60"/>
      </w:pPr>
      <w:r>
        <w:rPr>
          <w:b/>
        </w:rPr>
        <w:t xml:space="preserve">Мастер-файл: BiP (Rev) — 6 357,9. </w:t>
      </w:r>
      <w:r>
        <w:rPr>
          <w:i w:val="0"/>
        </w:rPr>
        <w:t>Выгрузка «Бонусы и скидки» + «Бонусы» по РН AdTech (лист «Rev вход» мастер-файла). Соответствует Реальным направлениям AdTech и поставщикам М+ (6 354,8); разница 3,1 приходится на июль. На этой базе строятся сегменты, инкремент, свод для консолидации, выгрузка E-com, КПЭ AdTech и сегментный P&amp;L для финансов OMNI.</w:t>
      </w:r>
    </w:p>
    <w:p>
      <w:pPr>
        <w:pStyle w:val="ListBullet"/>
        <w:spacing w:after="60"/>
      </w:pPr>
      <w:r>
        <w:rPr>
          <w:b/>
        </w:rPr>
        <w:t xml:space="preserve">Мастер-файл: управленческий P&amp;L (MBR, trading deck, прогноз) — 6 718,4. </w:t>
      </w:r>
      <w:r>
        <w:rPr>
          <w:i w:val="0"/>
        </w:rPr>
        <w:t>«Данные УО AdTech» (в мастер-файле — «Расшифровка») по инвентарю, без инвентаря М+: свод УО 8 129,2 − М+ 1 410,9.</w:t>
      </w:r>
    </w:p>
    <w:p>
      <w:pPr>
        <w:pStyle w:val="ListBullet"/>
        <w:spacing w:after="60"/>
      </w:pPr>
      <w:r>
        <w:rPr>
          <w:b/>
        </w:rPr>
        <w:t xml:space="preserve">Mads Commercial (Д. Ардаширов) — 6 783,9. </w:t>
      </w:r>
      <w:r>
        <w:rPr>
          <w:i w:val="0"/>
        </w:rPr>
        <w:t>Свод УО по направлениям с разбивкой на поставщиков и непоставщиков. Больше управленческого P&amp;L на 65,5: включает М+, учтённый через 1С (64,2).</w:t>
      </w:r>
    </w:p>
    <w:p>
      <w:pPr>
        <w:pStyle w:val="ListBullet"/>
        <w:spacing w:after="60"/>
      </w:pPr>
      <w:r>
        <w:rPr>
          <w:b/>
        </w:rPr>
        <w:t xml:space="preserve">КПЭ сотрудников (КПЭ 125, лист «Подтверждение КПЭ») — 3 142,7. </w:t>
      </w:r>
      <w:r>
        <w:rPr>
          <w:i w:val="0"/>
        </w:rPr>
        <w:t>Показатель за Q3, а не за 9 мес.: УО за квартал, включая М+, без доходов на не-AdTech РН; поставщики 2 782,5 + непоставщики 360,3.</w:t>
      </w:r>
    </w:p>
    <w:p>
      <w:pPr>
        <w:pStyle w:val="Heading1"/>
      </w:pPr>
      <w:r>
        <w:t>Примечания</w:t>
      </w:r>
    </w:p>
    <w:p>
      <w:pPr>
        <w:pStyle w:val="ListNumber"/>
        <w:spacing w:after="40"/>
      </w:pPr>
      <w:r>
        <w:rPr>
          <w:i w:val="0"/>
        </w:rPr>
        <w:t>✓* — отчёт строится не из компонентов «Сплита доходов», а из «Данных УО AdTech» по инвентарю, поэтому его итог не равен сумме отмеченных компонентов.</w:t>
      </w:r>
    </w:p>
    <w:p>
      <w:pPr>
        <w:pStyle w:val="ListNumber"/>
        <w:spacing w:after="40"/>
      </w:pPr>
      <w:r>
        <w:rPr>
          <w:i w:val="0"/>
        </w:rPr>
        <w:t>Свод УО (8 129,2) больше суммы компонентов «Сплита доходов» (7 896,5) на 232,7:</w:t>
      </w:r>
    </w:p>
    <w:p>
      <w:pPr>
        <w:pStyle w:val="ListBullet2"/>
        <w:spacing w:after="20"/>
      </w:pPr>
      <w:r>
        <w:rPr>
          <w:i w:val="0"/>
        </w:rPr>
        <w:t>доходы по РН AdTech +271,2 (в УО 6 626,0, в БиП 6 354,8). Из них 186,4 — июль: КУ, отражённые в БиП в прошлых месяцах, в июле повторно учтены в УО на инвентаре М+ (75,4) и Digital Instore (64,4);</w:t>
      </w:r>
    </w:p>
    <w:p>
      <w:pPr>
        <w:pStyle w:val="ListBullet2"/>
        <w:spacing w:after="20"/>
      </w:pPr>
      <w:r>
        <w:rPr>
          <w:i w:val="0"/>
        </w:rPr>
        <w:t>доходы на не-AdTech РН +25,4;</w:t>
      </w:r>
    </w:p>
    <w:p>
      <w:pPr>
        <w:pStyle w:val="ListBullet2"/>
        <w:spacing w:after="20"/>
      </w:pPr>
      <w:r>
        <w:rPr>
          <w:i w:val="0"/>
        </w:rPr>
        <w:t>корректировки прошлых месяцев +18,3;</w:t>
      </w:r>
    </w:p>
    <w:p>
      <w:pPr>
        <w:pStyle w:val="ListBullet2"/>
        <w:spacing w:after="20"/>
      </w:pPr>
      <w:r>
        <w:rPr>
          <w:i w:val="0"/>
        </w:rPr>
        <w:t>1С −82,3 (в УО 191,7, в «Сплите доходов» 274,0).</w:t>
      </w:r>
    </w:p>
    <w:p>
      <w:pPr>
        <w:pStyle w:val="ListNumber"/>
        <w:spacing w:after="40"/>
      </w:pPr>
      <w:r>
        <w:rPr>
          <w:i w:val="0"/>
        </w:rPr>
        <w:t>Лист «Сверка» файла доходов показывает разницу по РН AdTech 283,5: суммы БиП на этом листе внесены вручную с округлением до млн руб.</w:t>
      </w:r>
    </w:p>
    <w:p>
      <w:pPr>
        <w:pStyle w:val="ListNumber"/>
        <w:spacing w:after="40"/>
      </w:pPr>
      <w:r>
        <w:rPr>
          <w:i w:val="0"/>
        </w:rPr>
        <w:t>1С включает ФинТех, М+ (непоставщики) и Яндекс (Digital Instore).</w:t>
      </w:r>
    </w:p>
    <w:p>
      <w:pPr>
        <w:pStyle w:val="Heading1"/>
      </w:pPr>
      <w:r>
        <w:t>Перераспределение бюджетов поставщиков в инструменты AdTech: эффект для компании</w:t>
      </w:r>
    </w:p>
    <w:p>
      <w:pPr>
        <w:pStyle w:val="ListBullet"/>
        <w:spacing w:after="60"/>
      </w:pPr>
      <w:r>
        <w:rPr>
          <w:b/>
        </w:rPr>
        <w:t xml:space="preserve">Источник роста. </w:t>
      </w:r>
      <w:r>
        <w:rPr>
          <w:i w:val="0"/>
        </w:rPr>
        <w:t>Часть роста выручки AdTech обеспечивают бюджеты поставщиков, которые переходят из классических коммерческих условий (премии, промо, разовые условия) в рекламные инструменты. Для компании это смена формы, в которой поставщик инвестирует в продажи, а не перераспределение выручки между направлениями.</w:t>
      </w:r>
    </w:p>
    <w:p>
      <w:pPr>
        <w:pStyle w:val="ListBullet"/>
        <w:spacing w:after="60"/>
      </w:pPr>
      <w:r>
        <w:rPr>
          <w:b/>
        </w:rPr>
        <w:t xml:space="preserve">РТО. </w:t>
      </w:r>
      <w:r>
        <w:rPr>
          <w:i w:val="0"/>
        </w:rPr>
        <w:t>Размещения в приложении, в магазинах (Digital Instore) и в онлайне продвигают товары поставщика в каналах Магнита и стимулируют их продажи, то есть дают вклад в товарооборот, а не только компенсируют коммерческие условия.</w:t>
      </w:r>
    </w:p>
    <w:p>
      <w:pPr>
        <w:pStyle w:val="ListBullet"/>
        <w:spacing w:after="60"/>
      </w:pPr>
      <w:r>
        <w:rPr>
          <w:b/>
        </w:rPr>
        <w:t xml:space="preserve">Маржинальность. </w:t>
      </w:r>
      <w:r>
        <w:rPr>
          <w:i w:val="0"/>
        </w:rPr>
        <w:t>В отличие от промо-компенсаций, которые покрывают снижение цены, рекламный доход не требует скидки на полке. Расходы, привязанные к выручке AdTech (закупка трафика, вознаграждения РА, креаторы), в бюджете 2027 г. составляют 13,5% выручки; рентабельность AdTech по EBITDA — 74%.</w:t>
      </w:r>
    </w:p>
    <w:p>
      <w:pPr>
        <w:pStyle w:val="ListBullet"/>
        <w:spacing w:after="60"/>
      </w:pPr>
      <w:r>
        <w:rPr>
          <w:b/>
        </w:rPr>
        <w:t xml:space="preserve">Динамика. </w:t>
      </w:r>
      <w:r>
        <w:rPr>
          <w:i w:val="0"/>
        </w:rPr>
        <w:t>По анализу Magnit Ads за 9 мес. 2026 г. сегменты маркетинговых доходов, в которых учитывается выручка AdTech, растут быстрее остальных: «Маркетинг» +86%, прочие бонусы от поставщиков +19%; в сегментах без AdTech премии +3%, промо на уровне прошлого года, разовые условия −7%. Сегмент «Маркетинг» дал 85% прироста маркетинговых доходов: поставщики переводят бюджеты в инструменты с измеримым эффектом.</w:t>
      </w:r>
    </w:p>
    <w:p>
      <w:r>
        <w:rPr>
          <w:i/>
          <w:color w:val="7F7F7F"/>
          <w:sz w:val="17"/>
        </w:rPr>
        <w:t>Источник: файл «Доходы AdTech_9м2026» (листы «Сплит доходов», «PL AdTech», «Данные УО AdTech», «Mads Commercial», «Подтверждение КПЭ»), мастер-файл AdTech, данные на 23.10.2026.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cs="Arial" w:eastAsia="Arial"/>
      <w:b w:val="0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cs="Arial" w:eastAsia="Arial"/>
      <w:b/>
      <w:bCs/>
      <w:color w:val="262626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="Arial" w:hAnsi="Arial" w:cs="Arial" w:eastAsia="Arial"/>
      <w:b/>
      <w:color w:val="262626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