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0774" w14:textId="6E6802FC" w:rsidR="004A2D8E" w:rsidRPr="004A2D8E" w:rsidRDefault="004A2D8E" w:rsidP="004A2D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План «</w:t>
      </w:r>
      <w:r w:rsidRPr="004A2D8E">
        <w:rPr>
          <w:rFonts w:ascii="Times New Roman" w:hAnsi="Times New Roman" w:cs="Times New Roman"/>
          <w:sz w:val="28"/>
          <w:szCs w:val="28"/>
        </w:rPr>
        <w:t>Постановлени</w:t>
      </w:r>
      <w:r w:rsidRPr="004A2D8E">
        <w:rPr>
          <w:rFonts w:ascii="Times New Roman" w:hAnsi="Times New Roman" w:cs="Times New Roman"/>
          <w:sz w:val="28"/>
          <w:szCs w:val="28"/>
        </w:rPr>
        <w:t>я</w:t>
      </w:r>
      <w:r w:rsidRPr="004A2D8E">
        <w:rPr>
          <w:rFonts w:ascii="Times New Roman" w:hAnsi="Times New Roman" w:cs="Times New Roman"/>
          <w:sz w:val="28"/>
          <w:szCs w:val="28"/>
        </w:rPr>
        <w:t xml:space="preserve">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 w:rsidRPr="004A2D8E">
        <w:rPr>
          <w:rFonts w:ascii="Times New Roman" w:hAnsi="Times New Roman" w:cs="Times New Roman"/>
          <w:sz w:val="28"/>
          <w:szCs w:val="28"/>
        </w:rPr>
        <w:t>»</w:t>
      </w:r>
    </w:p>
    <w:p w14:paraId="39570E4B" w14:textId="50F44C6E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I. Общие положения и область применения</w:t>
      </w:r>
    </w:p>
    <w:p w14:paraId="5BCC156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II. Микроклимат на рабочих местах</w:t>
      </w:r>
    </w:p>
    <w:p w14:paraId="3F5E1F8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2.1. Общие положения</w:t>
      </w:r>
    </w:p>
    <w:p w14:paraId="18EC7BB3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2.2. Нормируемые показатели и параметры</w:t>
      </w:r>
    </w:p>
    <w:p w14:paraId="4D403682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2.3. Требования к организации контроля и методам измерения параметров</w:t>
      </w:r>
    </w:p>
    <w:p w14:paraId="1EB70231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III. Шум на рабочих местах</w:t>
      </w:r>
    </w:p>
    <w:p w14:paraId="6DDBCCEB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3.1. Общие положения</w:t>
      </w:r>
    </w:p>
    <w:p w14:paraId="24513947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3.2. Нормируемые показатели и параметры</w:t>
      </w:r>
    </w:p>
    <w:p w14:paraId="5B0F0D77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3.3. Требования к организации контроля и методам измерения параметров</w:t>
      </w:r>
    </w:p>
    <w:p w14:paraId="6B8482AB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IV. Вибрация на рабочих местах</w:t>
      </w:r>
    </w:p>
    <w:p w14:paraId="5595BE4D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4.1. Общие положения</w:t>
      </w:r>
    </w:p>
    <w:p w14:paraId="6CB26444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4.2. Нормируемые показатели и параметры</w:t>
      </w:r>
    </w:p>
    <w:p w14:paraId="07DD954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4.3. Требования к организации контроля и методам измерения параметров</w:t>
      </w:r>
    </w:p>
    <w:p w14:paraId="5AB49DA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V. Инфразвук на рабочих местах</w:t>
      </w:r>
    </w:p>
    <w:p w14:paraId="5E112034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5.1. Общие положения</w:t>
      </w:r>
    </w:p>
    <w:p w14:paraId="520D537D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5.2. Нормируемые показатели и параметры</w:t>
      </w:r>
    </w:p>
    <w:p w14:paraId="58B20F2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5.3. Требования к организации контроля и методам измерения параметров</w:t>
      </w:r>
    </w:p>
    <w:p w14:paraId="41FC6333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5.4. Санитарно-эпидемиологические требования к защите от инфразвука</w:t>
      </w:r>
    </w:p>
    <w:p w14:paraId="0A766410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lastRenderedPageBreak/>
        <w:t>VI. Воздушный и контактный ультразвук на рабочих местах</w:t>
      </w:r>
    </w:p>
    <w:p w14:paraId="7AE966B1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6.1. Общие положения</w:t>
      </w:r>
    </w:p>
    <w:p w14:paraId="67158CEF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6.2. Нормируемые показатели и параметры</w:t>
      </w:r>
    </w:p>
    <w:p w14:paraId="3762196C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6.3. Требования к организации контроля и методам измерения параметров</w:t>
      </w:r>
    </w:p>
    <w:p w14:paraId="49761B27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6.4. Требования по ограничению неблагоприятного влияния ультразвука на рабочих местах</w:t>
      </w:r>
    </w:p>
    <w:p w14:paraId="52FC759E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VII. Электрические, магнитные, электромагнитные поля на рабочих местах</w:t>
      </w:r>
    </w:p>
    <w:p w14:paraId="3A390F0E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7.1. Общие положения</w:t>
      </w:r>
    </w:p>
    <w:p w14:paraId="3A037210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7.2. Нормируемые показатели и параметры</w:t>
      </w:r>
    </w:p>
    <w:p w14:paraId="14171A65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7.3 Требования к организации контроля и методам измерения параметров</w:t>
      </w:r>
    </w:p>
    <w:p w14:paraId="555C41B9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VIII. Лазерное излучение на рабочих местах</w:t>
      </w:r>
    </w:p>
    <w:p w14:paraId="4F52366A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8.1. Общие положения</w:t>
      </w:r>
    </w:p>
    <w:p w14:paraId="1FFE630A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8.2. Нормируемые показатели и параметры</w:t>
      </w:r>
    </w:p>
    <w:p w14:paraId="2BAC11DA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8.3. Требования к организации контроля и методам измерения параметров</w:t>
      </w:r>
    </w:p>
    <w:p w14:paraId="0335B170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14:paraId="0EF1ABD2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IX. Ультрафиолетовое излучение</w:t>
      </w:r>
    </w:p>
    <w:p w14:paraId="6859532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9.1. Общие положения</w:t>
      </w:r>
    </w:p>
    <w:p w14:paraId="45D80464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9.2. Нормируемые показатели и параметры</w:t>
      </w:r>
    </w:p>
    <w:p w14:paraId="0B2D4886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9.3. Требования к организации контроля и методам измерения параметров</w:t>
      </w:r>
    </w:p>
    <w:p w14:paraId="6343E823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X. Освещение на рабочих местах</w:t>
      </w:r>
    </w:p>
    <w:p w14:paraId="3F2D6E0B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10.1. Общие положения</w:t>
      </w:r>
    </w:p>
    <w:p w14:paraId="4CE361FB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lastRenderedPageBreak/>
        <w:t>10.2. Нормируемые показатели и параметры освещенности на рабочем месте</w:t>
      </w:r>
    </w:p>
    <w:p w14:paraId="43B1ABA0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10.3. Требования к организации контроля и методам измерения параметров</w:t>
      </w:r>
    </w:p>
    <w:p w14:paraId="1211F1EB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1. Характеристика отдельных категорий работ</w:t>
      </w:r>
    </w:p>
    <w:p w14:paraId="57BBE156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2. Алгоритм определения ТНС-индекса</w:t>
      </w:r>
    </w:p>
    <w:p w14:paraId="5DC08F96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14:paraId="582CF034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14:paraId="7C1F6897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14:paraId="7685D4F3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6. Эквивалентные уровни звука на рабочих местах для трудовой деятельности разных категорий напряженности и тяжести, дБА</w:t>
      </w:r>
    </w:p>
    <w:p w14:paraId="07477560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7. Направление осей при измерениях вибрации</w:t>
      </w:r>
    </w:p>
    <w:p w14:paraId="5B6EAA88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14:paraId="3F910843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9. Требования к освещению рабочих мест</w:t>
      </w:r>
    </w:p>
    <w:p w14:paraId="05FE1C6B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10. Группы административных районов по ресурсам светового климата</w:t>
      </w:r>
    </w:p>
    <w:p w14:paraId="0094F7C9" w14:textId="77777777" w:rsidR="004A2D8E" w:rsidRPr="004A2D8E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D8E">
        <w:rPr>
          <w:rFonts w:ascii="Times New Roman" w:hAnsi="Times New Roman" w:cs="Times New Roman"/>
          <w:sz w:val="28"/>
          <w:szCs w:val="28"/>
        </w:rPr>
        <w:t>Приложение 11. Нормирование и организация контроля уровня ослабления геомагнитного поля</w:t>
      </w:r>
    </w:p>
    <w:p w14:paraId="67F24CFC" w14:textId="77777777" w:rsidR="003121C2" w:rsidRPr="004A2D8E" w:rsidRDefault="003121C2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121C2" w:rsidRPr="004A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11"/>
    <w:rsid w:val="003121C2"/>
    <w:rsid w:val="004A2D8E"/>
    <w:rsid w:val="007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990D"/>
  <w15:chartTrackingRefBased/>
  <w15:docId w15:val="{68B6C61D-6198-4A8E-89BA-1EB5C89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2021-02-15T21:30:00Z</dcterms:created>
  <dcterms:modified xsi:type="dcterms:W3CDTF">2021-02-15T21:34:00Z</dcterms:modified>
</cp:coreProperties>
</file>