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Производственная практика </w:t>
        <w:br w:type="textWrapping"/>
        <w:t xml:space="preserve">ИСР 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Практика проходила в Учебном Центре имени Н. П. Бехтеревой. Основная задача данной организации является проведение учебных программ в рамках дополнительного образования психологов и психотерапевтов.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Сотрудников данной организации можно условно разделить на несколько отделов: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бухгалтерский отдел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отдел рекламы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отдел документооборота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технический отдел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отдел организации обучения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Учебный центр проводит образовательные программы в очном и онлайн формате. Цель данной организации - создать возможность для обучающихся получать дополнительное образование в удобном для человека формате.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центр с каждым днем обращается все больше специалистов и в связи с этим возникают проблемы масштабирования информационных систем, которые помогают нам в процессе обучения.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УЦ в будущем планирует запускать программы НМО (Непрерывного медицинского образования). В данный момент стоит проблема в технической организации таких учебных программ.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Центр также активно взаимодействует с профессиональными ассоциациями психотерапевтов и психологов, как, например, РПА (Российская психотерапевтическая ассоциация) и АСОКГ (Ассоциация специалистов в области клинического гипноза). Отдел организации обучения активно общается с представителями этих ассоциаций, они помогают разрабатывать максимально полезные и информативные учебные программы на платформе нашего центра.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