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7FDC" w14:textId="280984A2" w:rsidR="00E05BAB" w:rsidRPr="002644E8" w:rsidRDefault="002644E8" w:rsidP="00264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4E8">
        <w:rPr>
          <w:rFonts w:ascii="Times New Roman" w:hAnsi="Times New Roman" w:cs="Times New Roman"/>
          <w:b/>
          <w:bCs/>
          <w:sz w:val="28"/>
          <w:szCs w:val="28"/>
        </w:rPr>
        <w:t>Список тем рефератов для 1 курса</w:t>
      </w:r>
    </w:p>
    <w:p w14:paraId="6C19FE6D" w14:textId="1BD737FD" w:rsidR="002644E8" w:rsidRDefault="002644E8" w:rsidP="00264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4E8">
        <w:rPr>
          <w:rFonts w:ascii="Times New Roman" w:hAnsi="Times New Roman" w:cs="Times New Roman"/>
          <w:b/>
          <w:bCs/>
          <w:sz w:val="28"/>
          <w:szCs w:val="28"/>
        </w:rPr>
        <w:t>Учебно-научный семинар</w:t>
      </w:r>
    </w:p>
    <w:p w14:paraId="78C8BB55" w14:textId="5E501AD8" w:rsidR="002644E8" w:rsidRDefault="002644E8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44E8">
        <w:rPr>
          <w:rFonts w:ascii="Times New Roman" w:hAnsi="Times New Roman" w:cs="Times New Roman"/>
          <w:sz w:val="28"/>
          <w:szCs w:val="28"/>
        </w:rPr>
        <w:t>Социальное проектирование в контексте помощи незащищенным слоям населения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9ECDDD" w14:textId="3A6E95AB" w:rsidR="002644E8" w:rsidRDefault="002644E8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44E8">
        <w:rPr>
          <w:rFonts w:ascii="Times New Roman" w:hAnsi="Times New Roman" w:cs="Times New Roman"/>
          <w:sz w:val="28"/>
          <w:szCs w:val="28"/>
        </w:rPr>
        <w:t>Инвестиции в человека как приоритет социальной политики по поддержке уязвимых слоев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2F49F6" w14:textId="100EEA14" w:rsidR="002644E8" w:rsidRDefault="002644E8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44E8">
        <w:rPr>
          <w:rFonts w:ascii="Times New Roman" w:hAnsi="Times New Roman" w:cs="Times New Roman"/>
          <w:sz w:val="28"/>
          <w:szCs w:val="28"/>
        </w:rPr>
        <w:t>Атомная энергетика: перспективы и вызовы для бизнеса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118217" w14:textId="172EFAD7" w:rsidR="002644E8" w:rsidRDefault="002644E8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Устойчивое развитие в энергетическом бизнесе: сущность, </w:t>
      </w:r>
      <w:r w:rsidR="00D72BB2">
        <w:rPr>
          <w:rFonts w:ascii="Times New Roman" w:hAnsi="Times New Roman" w:cs="Times New Roman"/>
          <w:sz w:val="28"/>
          <w:szCs w:val="28"/>
        </w:rPr>
        <w:t>особенности и риски.</w:t>
      </w:r>
    </w:p>
    <w:p w14:paraId="119C22D5" w14:textId="08FF48A4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Прорывные технологии в энергетике на ближайшее десятилетие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EBC48A" w14:textId="11E403BA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Эволюция и современное состояние креативных индустрий в России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295390" w14:textId="6EFC32AE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 xml:space="preserve">Основные отрасли креативных индустрий: </w:t>
      </w:r>
      <w:r>
        <w:rPr>
          <w:rFonts w:ascii="Times New Roman" w:hAnsi="Times New Roman" w:cs="Times New Roman"/>
          <w:sz w:val="28"/>
          <w:szCs w:val="28"/>
        </w:rPr>
        <w:t xml:space="preserve">кинематограф, </w:t>
      </w:r>
      <w:r w:rsidRPr="00D72BB2">
        <w:rPr>
          <w:rFonts w:ascii="Times New Roman" w:hAnsi="Times New Roman" w:cs="Times New Roman"/>
          <w:sz w:val="28"/>
          <w:szCs w:val="28"/>
        </w:rPr>
        <w:t>искусство, дизайн, медиа, мода, архитектура</w:t>
      </w:r>
      <w:r>
        <w:rPr>
          <w:rFonts w:ascii="Times New Roman" w:hAnsi="Times New Roman" w:cs="Times New Roman"/>
          <w:sz w:val="28"/>
          <w:szCs w:val="28"/>
        </w:rPr>
        <w:t>. Особенности функционирования и нормативно-правовое регулирование.</w:t>
      </w:r>
    </w:p>
    <w:p w14:paraId="6880D814" w14:textId="5EB2F3C3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Особенности развития гастрономических и развлекательных креативных отраслей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75B22F" w14:textId="4A8E01A2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Молодежная политика и спорт: направления поддержки и развития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F29AB2" w14:textId="4D33BC63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Межрегиональное и международное сотрудничество в сфере молодежной политики</w:t>
      </w:r>
      <w:r>
        <w:rPr>
          <w:rFonts w:ascii="Times New Roman" w:hAnsi="Times New Roman" w:cs="Times New Roman"/>
          <w:sz w:val="28"/>
          <w:szCs w:val="28"/>
        </w:rPr>
        <w:t>: примеры взаимодействия и перспективы развития.</w:t>
      </w:r>
    </w:p>
    <w:p w14:paraId="21F85285" w14:textId="68B796A5" w:rsidR="00D72BB2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BB2">
        <w:rPr>
          <w:rFonts w:ascii="Times New Roman" w:hAnsi="Times New Roman" w:cs="Times New Roman"/>
          <w:sz w:val="28"/>
          <w:szCs w:val="28"/>
        </w:rPr>
        <w:t>Методика проведения профориентационных игр и тренингов</w:t>
      </w:r>
      <w:r>
        <w:rPr>
          <w:rFonts w:ascii="Times New Roman" w:hAnsi="Times New Roman" w:cs="Times New Roman"/>
          <w:sz w:val="28"/>
          <w:szCs w:val="28"/>
        </w:rPr>
        <w:t>: примеры интерактивного взаимодействия со школьниками.</w:t>
      </w:r>
    </w:p>
    <w:p w14:paraId="623CB596" w14:textId="77777777" w:rsidR="00875297" w:rsidRDefault="00D72BB2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Многообразие </w:t>
      </w:r>
      <w:r w:rsidRPr="00D72BB2">
        <w:rPr>
          <w:rFonts w:ascii="Times New Roman" w:hAnsi="Times New Roman" w:cs="Times New Roman"/>
          <w:sz w:val="28"/>
          <w:szCs w:val="28"/>
        </w:rPr>
        <w:t>аспект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D72BB2">
        <w:rPr>
          <w:rFonts w:ascii="Times New Roman" w:hAnsi="Times New Roman" w:cs="Times New Roman"/>
          <w:sz w:val="28"/>
          <w:szCs w:val="28"/>
        </w:rPr>
        <w:t xml:space="preserve"> </w:t>
      </w:r>
      <w:r w:rsidR="00875297">
        <w:rPr>
          <w:rFonts w:ascii="Times New Roman" w:hAnsi="Times New Roman" w:cs="Times New Roman"/>
          <w:sz w:val="28"/>
          <w:szCs w:val="28"/>
        </w:rPr>
        <w:t xml:space="preserve">и факторов, влияющих на </w:t>
      </w:r>
      <w:r w:rsidRPr="00D72BB2">
        <w:rPr>
          <w:rFonts w:ascii="Times New Roman" w:hAnsi="Times New Roman" w:cs="Times New Roman"/>
          <w:sz w:val="28"/>
          <w:szCs w:val="28"/>
        </w:rPr>
        <w:t>выбор профессии</w:t>
      </w:r>
      <w:r w:rsidR="00875297">
        <w:rPr>
          <w:rFonts w:ascii="Times New Roman" w:hAnsi="Times New Roman" w:cs="Times New Roman"/>
          <w:sz w:val="28"/>
          <w:szCs w:val="28"/>
        </w:rPr>
        <w:t>.</w:t>
      </w:r>
    </w:p>
    <w:p w14:paraId="181971D9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Роль профориентации в формировании профессиональной карьеры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68C071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Модель организации патриотического воспитания студентов на основе этнокультурного опыта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57E07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Вовлечение студентов в волонтерское движение и общественно-полезную деятельность как форма патриотизма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AB20FF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Использование литературы и искусства для формирования гражданской идентичности студентов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6E2DE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Роль учебных дисциплин в формировании гражданско-патриотических ценностей у студентов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69B677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Гражданская позиция и патриотизм в студенческой среде</w:t>
      </w:r>
      <w:r>
        <w:rPr>
          <w:rFonts w:ascii="Times New Roman" w:hAnsi="Times New Roman" w:cs="Times New Roman"/>
          <w:sz w:val="28"/>
          <w:szCs w:val="28"/>
        </w:rPr>
        <w:t>: сущность, особенности и примеры.</w:t>
      </w:r>
    </w:p>
    <w:p w14:paraId="4524F5E8" w14:textId="77777777" w:rsidR="00875297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Проблемы и перспективы развития академической мобильности студентов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4C22E5" w14:textId="5A4D1E9B" w:rsidR="00D72BB2" w:rsidRDefault="00875297" w:rsidP="002644E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5297">
        <w:rPr>
          <w:rFonts w:ascii="Times New Roman" w:hAnsi="Times New Roman" w:cs="Times New Roman"/>
          <w:sz w:val="28"/>
          <w:szCs w:val="28"/>
        </w:rPr>
        <w:t>Привлечение иностранных студентов</w:t>
      </w:r>
      <w:r>
        <w:rPr>
          <w:rFonts w:ascii="Times New Roman" w:hAnsi="Times New Roman" w:cs="Times New Roman"/>
          <w:sz w:val="28"/>
          <w:szCs w:val="28"/>
        </w:rPr>
        <w:t xml:space="preserve"> в вузы</w:t>
      </w:r>
      <w:r w:rsidRPr="00875297">
        <w:rPr>
          <w:rFonts w:ascii="Times New Roman" w:hAnsi="Times New Roman" w:cs="Times New Roman"/>
          <w:sz w:val="28"/>
          <w:szCs w:val="28"/>
        </w:rPr>
        <w:t xml:space="preserve"> и интеграция в студенческую среду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734D60" w14:textId="46CBC390" w:rsidR="00EC769A" w:rsidRDefault="00875297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с иностранными обучающимися в вузе: анализ успешных практик</w:t>
      </w:r>
      <w:r w:rsidR="00EC769A">
        <w:rPr>
          <w:rFonts w:ascii="Times New Roman" w:hAnsi="Times New Roman" w:cs="Times New Roman"/>
          <w:sz w:val="28"/>
          <w:szCs w:val="28"/>
        </w:rPr>
        <w:t>.</w:t>
      </w:r>
    </w:p>
    <w:p w14:paraId="1634AB53" w14:textId="41E7FAE2" w:rsidR="00EC769A" w:rsidRDefault="00EC769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769A">
        <w:rPr>
          <w:rFonts w:ascii="Times New Roman" w:hAnsi="Times New Roman" w:cs="Times New Roman"/>
          <w:sz w:val="28"/>
          <w:szCs w:val="28"/>
        </w:rPr>
        <w:t>Особенности международных студенческих мероприятий и конференций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47F160" w14:textId="0156CEF4" w:rsidR="00EC769A" w:rsidRDefault="00EC769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769A">
        <w:rPr>
          <w:rFonts w:ascii="Times New Roman" w:hAnsi="Times New Roman" w:cs="Times New Roman"/>
          <w:sz w:val="28"/>
          <w:szCs w:val="28"/>
        </w:rPr>
        <w:t>Культурный обмен и его значение для адаптации иностранных студентов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D690DB" w14:textId="0891E810" w:rsidR="00EC769A" w:rsidRDefault="00EC769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769A">
        <w:rPr>
          <w:rFonts w:ascii="Times New Roman" w:hAnsi="Times New Roman" w:cs="Times New Roman"/>
          <w:sz w:val="28"/>
          <w:szCs w:val="28"/>
        </w:rPr>
        <w:lastRenderedPageBreak/>
        <w:t>Привлечение иностранных студентов и интеграция в студенческую среду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3264C8" w14:textId="44CB01E0" w:rsidR="00EC769A" w:rsidRDefault="003E2E1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E1A">
        <w:rPr>
          <w:rFonts w:ascii="Times New Roman" w:hAnsi="Times New Roman" w:cs="Times New Roman"/>
          <w:sz w:val="28"/>
          <w:szCs w:val="28"/>
        </w:rPr>
        <w:t>Влияние участия студентов в международных программах обмена на их профессиональное развитие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C96E16" w14:textId="14EB83C2" w:rsidR="003E2E1A" w:rsidRDefault="003E2E1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E1A">
        <w:rPr>
          <w:rFonts w:ascii="Times New Roman" w:hAnsi="Times New Roman" w:cs="Times New Roman"/>
          <w:sz w:val="28"/>
          <w:szCs w:val="28"/>
        </w:rPr>
        <w:t>Современные методы поддержки молодых ученых</w:t>
      </w:r>
      <w:r>
        <w:rPr>
          <w:rFonts w:ascii="Times New Roman" w:hAnsi="Times New Roman" w:cs="Times New Roman"/>
          <w:sz w:val="28"/>
          <w:szCs w:val="28"/>
        </w:rPr>
        <w:t>: социальные и материальные стимулы для молодежи в науке.</w:t>
      </w:r>
    </w:p>
    <w:p w14:paraId="3A617E98" w14:textId="5E5AC56E" w:rsidR="003E2E1A" w:rsidRDefault="003E2E1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E1A">
        <w:rPr>
          <w:rFonts w:ascii="Times New Roman" w:hAnsi="Times New Roman" w:cs="Times New Roman"/>
          <w:sz w:val="28"/>
          <w:szCs w:val="28"/>
        </w:rPr>
        <w:t xml:space="preserve">Проблемы </w:t>
      </w:r>
      <w:r>
        <w:rPr>
          <w:rFonts w:ascii="Times New Roman" w:hAnsi="Times New Roman" w:cs="Times New Roman"/>
          <w:sz w:val="28"/>
          <w:szCs w:val="28"/>
        </w:rPr>
        <w:t xml:space="preserve">мотивации и </w:t>
      </w:r>
      <w:r w:rsidRPr="003E2E1A">
        <w:rPr>
          <w:rFonts w:ascii="Times New Roman" w:hAnsi="Times New Roman" w:cs="Times New Roman"/>
          <w:sz w:val="28"/>
          <w:szCs w:val="28"/>
        </w:rPr>
        <w:t>престижа научной деятельности в молодежной среде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4EA84B" w14:textId="5496E02C" w:rsidR="003E2E1A" w:rsidRDefault="003E2E1A" w:rsidP="00EC769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E1A">
        <w:rPr>
          <w:rFonts w:ascii="Times New Roman" w:hAnsi="Times New Roman" w:cs="Times New Roman"/>
          <w:sz w:val="28"/>
          <w:szCs w:val="28"/>
        </w:rPr>
        <w:t>Организация научно-исследовательской работы студентов на примере вузов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0974D9" w14:textId="097659B0" w:rsidR="003E2E1A" w:rsidRPr="003E2E1A" w:rsidRDefault="003E2E1A" w:rsidP="003E2E1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E1A">
        <w:rPr>
          <w:rFonts w:ascii="Times New Roman" w:hAnsi="Times New Roman" w:cs="Times New Roman"/>
          <w:sz w:val="28"/>
          <w:szCs w:val="28"/>
        </w:rPr>
        <w:t xml:space="preserve">Организация </w:t>
      </w:r>
      <w:r>
        <w:rPr>
          <w:rFonts w:ascii="Times New Roman" w:hAnsi="Times New Roman" w:cs="Times New Roman"/>
          <w:sz w:val="28"/>
          <w:szCs w:val="28"/>
        </w:rPr>
        <w:t>клубов студенческого самоуправления</w:t>
      </w:r>
      <w:r w:rsidRPr="003E2E1A">
        <w:rPr>
          <w:rFonts w:ascii="Times New Roman" w:hAnsi="Times New Roman" w:cs="Times New Roman"/>
          <w:sz w:val="28"/>
          <w:szCs w:val="28"/>
        </w:rPr>
        <w:t xml:space="preserve"> на примере вузов</w:t>
      </w:r>
      <w:r>
        <w:rPr>
          <w:rFonts w:ascii="Times New Roman" w:hAnsi="Times New Roman" w:cs="Times New Roman"/>
          <w:sz w:val="28"/>
          <w:szCs w:val="28"/>
        </w:rPr>
        <w:t>: особенности функционировании, перспективы развития.</w:t>
      </w:r>
    </w:p>
    <w:sectPr w:rsidR="003E2E1A" w:rsidRPr="003E2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D45D5"/>
    <w:multiLevelType w:val="hybridMultilevel"/>
    <w:tmpl w:val="3DD09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35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2C"/>
    <w:rsid w:val="00131C93"/>
    <w:rsid w:val="002644E8"/>
    <w:rsid w:val="00306CEF"/>
    <w:rsid w:val="003E2E1A"/>
    <w:rsid w:val="006574AE"/>
    <w:rsid w:val="00875297"/>
    <w:rsid w:val="00930D2C"/>
    <w:rsid w:val="00990225"/>
    <w:rsid w:val="00D72BB2"/>
    <w:rsid w:val="00E05BAB"/>
    <w:rsid w:val="00E5447E"/>
    <w:rsid w:val="00EC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E6360F"/>
  <w15:chartTrackingRefBased/>
  <w15:docId w15:val="{90A055B2-0543-E841-B3AB-806F2163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D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Пондо Екатерина Александровна</dc:creator>
  <cp:keywords/>
  <dc:description/>
  <cp:lastModifiedBy>Пондо Екатерина Александровна</cp:lastModifiedBy>
  <cp:revision>2</cp:revision>
  <dcterms:created xsi:type="dcterms:W3CDTF">2025-10-14T10:31:00Z</dcterms:created>
  <dcterms:modified xsi:type="dcterms:W3CDTF">2025-10-14T11:22:00Z</dcterms:modified>
</cp:coreProperties>
</file>