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A94C7" w14:textId="77777777" w:rsidR="00A37208" w:rsidRPr="00A37208" w:rsidRDefault="00A37208" w:rsidP="00A37208">
      <w:pPr>
        <w:shd w:val="clear" w:color="auto" w:fill="141414"/>
        <w:spacing w:after="0" w:line="720" w:lineRule="atLeast"/>
        <w:outlineLvl w:val="3"/>
        <w:rPr>
          <w:rFonts w:ascii="Arial" w:eastAsia="Times New Roman" w:hAnsi="Arial" w:cs="Arial"/>
          <w:b/>
          <w:bCs/>
          <w:color w:val="E3E3E3"/>
          <w:sz w:val="57"/>
          <w:szCs w:val="57"/>
          <w:lang w:eastAsia="ru-RU"/>
        </w:rPr>
      </w:pPr>
      <w:r w:rsidRPr="00A37208">
        <w:rPr>
          <w:rFonts w:ascii="Arial" w:eastAsia="Times New Roman" w:hAnsi="Arial" w:cs="Arial"/>
          <w:b/>
          <w:bCs/>
          <w:color w:val="E3E3E3"/>
          <w:sz w:val="57"/>
          <w:szCs w:val="57"/>
          <w:lang w:eastAsia="ru-RU"/>
        </w:rPr>
        <w:t>10.3 Работа с двумя счетчиками в условном операторе</w:t>
      </w:r>
    </w:p>
    <w:p w14:paraId="53129C18" w14:textId="2AD4100A" w:rsidR="00E8600F" w:rsidRDefault="0005737C">
      <w:r>
        <w:rPr>
          <w:noProof/>
        </w:rPr>
        <w:drawing>
          <wp:inline distT="0" distB="0" distL="0" distR="0" wp14:anchorId="0BC3F029" wp14:editId="352953F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C0D9A" wp14:editId="22C1F7A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110608" wp14:editId="07E26FF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E6B51" wp14:editId="779D108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8104C" wp14:editId="4FA32D8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0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208"/>
    <w:rsid w:val="0005737C"/>
    <w:rsid w:val="00A37208"/>
    <w:rsid w:val="00CA5C09"/>
    <w:rsid w:val="00E86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09BD9"/>
  <w15:chartTrackingRefBased/>
  <w15:docId w15:val="{B39143B2-D966-4C2D-A6DC-D37144820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A3720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A3720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5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3</cp:revision>
  <dcterms:created xsi:type="dcterms:W3CDTF">2022-12-06T09:44:00Z</dcterms:created>
  <dcterms:modified xsi:type="dcterms:W3CDTF">2022-12-06T10:50:00Z</dcterms:modified>
</cp:coreProperties>
</file>